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Verdana" w:hAnsi="Verdana"/>
          <w:b/>
          <w:sz w:val="24"/>
          <w:szCs w:val="24"/>
        </w:rPr>
        <w:t xml:space="preserve">ANEXO I 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  <w:sz w:val="24"/>
          <w:szCs w:val="24"/>
        </w:rPr>
        <w:t>1. CONVOCATORIA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</w:rPr>
        <w:t>1.1 Jurado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El jurado del concurso estará compuesto por:</w:t>
      </w:r>
    </w:p>
    <w:p>
      <w:pPr>
        <w:pStyle w:val="style3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</w:rPr>
        <w:t>Dos (2) representantes del Superior Tribunal de Justicia – Vocales -.</w:t>
      </w:r>
    </w:p>
    <w:p>
      <w:pPr>
        <w:pStyle w:val="style3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</w:rPr>
        <w:t>Un (1) representante de la Facultad de Ciencias Económicas de la UNER, en representación del Sector Académico.</w:t>
      </w:r>
    </w:p>
    <w:p>
      <w:pPr>
        <w:pStyle w:val="style3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</w:rPr>
        <w:t>El Secretario de Gobierno del Poder Judicial de la Provincia de Santa Fe Santa Fe – Dr. Eduardo Marcos Pedro Bordas.</w:t>
      </w:r>
    </w:p>
    <w:p>
      <w:pPr>
        <w:pStyle w:val="style3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</w:rPr>
        <w:t>Un (1) representante del Consejo Profesional de Ciencias Económicas de Entre Ríos.</w:t>
      </w:r>
      <w:r>
        <w:rPr>
          <w:rFonts w:ascii="Verdana" w:hAnsi="Verdana"/>
          <w:b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Los integrantes del Jurado se desempeñarán en forma honoraria, sin perjuicio del reconocimiento por parte del STJ de los gastos ocasionados por el presente concurso.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</w:rPr>
        <w:t>1.2 Etapas y Calificación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La evaluación de los inscriptos será calificada con un máximo de cien (100) puntos, distribuidos de la siguiente forma.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Antecedente</w:t>
      </w:r>
      <w:r>
        <w:rPr>
          <w:rFonts w:ascii="Verdana" w:hAnsi="Verdana"/>
        </w:rPr>
        <w:t>s: hasta cincuenta (50) puntos;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Oposición</w:t>
      </w:r>
      <w:r>
        <w:rPr>
          <w:rFonts w:ascii="Verdana" w:hAnsi="Verdana"/>
        </w:rPr>
        <w:t>: hasta treinta (30) puntos;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Entrevista</w:t>
      </w:r>
      <w:r>
        <w:rPr>
          <w:rFonts w:ascii="Verdana" w:hAnsi="Verdana"/>
        </w:rPr>
        <w:t>: hasta veinte (20) puntos. A la entrevista solo accederán aquellos que cuenten con 60 puntos o más entre las etapas de antecedentes y oposición.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</w:rPr>
        <w:t xml:space="preserve">1.3 Requisitos 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Formales</w:t>
      </w:r>
    </w:p>
    <w:p>
      <w:pPr>
        <w:pStyle w:val="style31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/>
        </w:rPr>
        <w:t>Título de contador Público Nacional (excluyente).</w:t>
      </w:r>
    </w:p>
    <w:p>
      <w:pPr>
        <w:pStyle w:val="style31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/>
        </w:rPr>
        <w:t>Contar con 10 años de experiencia profesional como Contador (excluyente).</w:t>
      </w:r>
    </w:p>
    <w:p>
      <w:pPr>
        <w:pStyle w:val="style31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/>
        </w:rPr>
        <w:t>Contar con experiencia acreditable en cargos jerárquicos con personal a cargo en el sector público o privado con funciones asociadas a su profesión.</w:t>
      </w:r>
    </w:p>
    <w:p>
      <w:pPr>
        <w:pStyle w:val="style31"/>
        <w:numPr>
          <w:ilvl w:val="0"/>
          <w:numId w:val="3"/>
        </w:numPr>
        <w:spacing w:line="360" w:lineRule="auto"/>
        <w:jc w:val="both"/>
      </w:pPr>
      <w:r>
        <w:rPr>
          <w:rFonts w:ascii="Verdana" w:hAnsi="Verdana"/>
        </w:rPr>
        <w:t>Tener 2 años de residencia en la provincia para quienes no sean naturales de ella (excluyente).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Conocimiento del Funcionamiento del Poder Judicial</w:t>
      </w:r>
    </w:p>
    <w:p>
      <w:pPr>
        <w:pStyle w:val="style31"/>
        <w:numPr>
          <w:ilvl w:val="0"/>
          <w:numId w:val="6"/>
        </w:numPr>
        <w:spacing w:line="360" w:lineRule="auto"/>
        <w:jc w:val="both"/>
      </w:pPr>
      <w:r>
        <w:rPr>
          <w:rFonts w:ascii="Verdana" w:hAnsi="Verdana"/>
        </w:rPr>
        <w:t>Ley Orgánica del Poder Judicial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Conocimiento de la normativa específica inherente al cargo de Contador General.</w:t>
      </w:r>
    </w:p>
    <w:p>
      <w:pPr>
        <w:pStyle w:val="style31"/>
        <w:numPr>
          <w:ilvl w:val="0"/>
          <w:numId w:val="5"/>
        </w:numPr>
        <w:spacing w:line="360" w:lineRule="auto"/>
        <w:jc w:val="both"/>
      </w:pPr>
      <w:r>
        <w:rPr>
          <w:rFonts w:ascii="Verdana" w:hAnsi="Verdana"/>
        </w:rPr>
        <w:t>Artículos 124, 125 y 126 de la Ley Orgánica del Poder Judicial.</w:t>
      </w:r>
    </w:p>
    <w:p>
      <w:pPr>
        <w:pStyle w:val="style31"/>
        <w:numPr>
          <w:ilvl w:val="0"/>
          <w:numId w:val="5"/>
        </w:numPr>
        <w:spacing w:line="360" w:lineRule="auto"/>
        <w:jc w:val="both"/>
      </w:pPr>
      <w:r>
        <w:rPr>
          <w:rFonts w:ascii="Verdana" w:hAnsi="Verdana"/>
        </w:rPr>
        <w:t>Acuerdo General Nº 03/18 del 27-02-18, punto Primero. “Reglamento de Control Interno Previo de la Gestión Económica Financiera del Poder Judicial”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Conocimiento técnicos no específicos</w:t>
      </w:r>
    </w:p>
    <w:p>
      <w:pPr>
        <w:pStyle w:val="style3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/>
        </w:rPr>
        <w:t>Manejo de herramientas informáticas</w:t>
      </w:r>
    </w:p>
    <w:p>
      <w:pPr>
        <w:pStyle w:val="style3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/>
        </w:rPr>
        <w:t>Conocimientos y aptitud para el desarrollo de proyectos, incluyendo el diseño de procesos.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Competencias actitudinales</w:t>
      </w:r>
    </w:p>
    <w:p>
      <w:pPr>
        <w:pStyle w:val="style3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</w:rPr>
        <w:t>Capacidad de liderazgo.</w:t>
      </w:r>
    </w:p>
    <w:p>
      <w:pPr>
        <w:pStyle w:val="style3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</w:rPr>
        <w:t>Capacidad para la organización del trabajo.</w:t>
      </w:r>
    </w:p>
    <w:p>
      <w:pPr>
        <w:pStyle w:val="style3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</w:rPr>
        <w:t>Capacidad de análisis y resolución de problemas.</w:t>
      </w:r>
    </w:p>
    <w:p>
      <w:pPr>
        <w:pStyle w:val="style3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</w:rPr>
        <w:t>Iniciativa, creatividad e iniciativa para el cambio.</w:t>
      </w:r>
    </w:p>
    <w:p>
      <w:pPr>
        <w:pStyle w:val="style3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</w:rPr>
        <w:t>Excelente nivel de expresión oral y escrita.</w:t>
      </w:r>
    </w:p>
    <w:p>
      <w:pPr>
        <w:pStyle w:val="style3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</w:rPr>
        <w:t>Alto grado de responsabilidad y compromiso.</w:t>
      </w:r>
    </w:p>
    <w:p>
      <w:pPr>
        <w:pStyle w:val="style3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</w:rPr>
        <w:t>Integridad, honestidad y ética.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</w:rPr>
        <w:t>1.4 Evaluación de Antecedentes: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Actuación Profesional</w:t>
      </w:r>
      <w:r>
        <w:rPr>
          <w:rFonts w:ascii="Verdana" w:hAnsi="Verdana"/>
        </w:rPr>
        <w:t>: hasta 20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a) Antigüedad Profesional desde su matriculación: 1 Punto por año o fracción superior a seis (06) meses, hasta un máximo de 10.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b) Cargos jerárquicos en el sector público municipal, provincial o nacional, en los tres poderes del estado, vinculados a su profesión: 0,50 puntos por año, hasta 10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c) Desempeño en cargos no jerárquicos en el sector público municipal, provincial o nacional, en los tres poderes del estado, vinculados a su profesión: 0,25 puntos por año, hasta 10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d) Perito de oficio: 0,20 puntos por pericia presentada, hasta un máximo de 5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Antecedentes Académicos</w:t>
      </w:r>
      <w:r>
        <w:rPr>
          <w:rFonts w:ascii="Verdana" w:hAnsi="Verdana"/>
        </w:rPr>
        <w:t>: hasta 20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a) Título de doctor/a: 12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b) Título de maestría en rama contable vinculada a la función económica o financiera en sector público: 9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c) Título de maestría en rama contable ajena a la actividad a desarrollar: 4,5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d) Título Universitario de Especialización o Posgrado Universitario en rama contable vinculada a la función económica o financiera en sector público: 6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e) Título Universitario de Especialización o Posgrado Universitario en rama contable ajena a la función económica o financiera en sector público: 3 punto.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f) Títulos universitarios de profesiones afines al cargo para el que se postula: 3 punto, hasta un máximo de 6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g) Trabajos publicados en publicaciones especializadas: 1,5 puntos, hasta un máximo de 12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h) Participación como disertante o expositor en congresos y/o reuniones científicas: 0,6 puntos, hasta un máximo de 6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 xml:space="preserve">i) Cursos de Especialización cursados y aprobados en universidades públicas o privadas con reconocimiento Estatal o entidades de reconocida trayectoria en materia contable: 0,25 Puntos hasta un máximo de 4 puntos. 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u w:val="single"/>
        </w:rPr>
        <w:t>Actuación Docente</w:t>
      </w:r>
      <w:r>
        <w:rPr>
          <w:rFonts w:ascii="Verdana" w:hAnsi="Verdana"/>
        </w:rPr>
        <w:t>: hasta 10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Los cargos que darán puntaje serán los que se ejerzan a la fecha de la inscripción, correspondan al nivel universitario y se computarán por asignatura.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a) Profesor/a titular: 4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b) Profesor/a adjunto/a, a cargo de Cátedra: 1 punto por año, hasta un máximo de 4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c) Profesor/a adjunto/a: 1 punto por año, hasta un máximo de 2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d) Otros cargos: 1 punto por año, hasta un máximo de 2 puntos.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</w:rPr>
        <w:t>1.5 Prueba de Oposición: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 xml:space="preserve">La prueba de oposición será idéntica para todos los postulantes, versará sobre temas directamente vinculados a la función que se pretende cubrir y se deberá garantizar su carácter anónimo. Los jurados técnicos deberán elaborar un mínimo de seis temas, que serán sorteados al momento del examen, en presencia de los postulantes. </w:t>
      </w:r>
      <w:bookmarkStart w:id="0" w:name="__UnoMark__3344_2099050409"/>
      <w:bookmarkEnd w:id="0"/>
      <w:r>
        <w:rPr>
          <w:rFonts w:ascii="Verdana" w:hAnsi="Verdana"/>
        </w:rPr>
        <w:t xml:space="preserve">Se evaluará tanto la formación teórica como la capacitación práctica. 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</w:rPr>
        <w:t>1.6 Publicación y Difusión.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En fecha a definir, durante 3 días hábiles,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en el Boletín Oficial, el sitio web del Poder Judicial, un diario de amplia circulación que se edite en la ciudad de Paraná y uno o más, de otras ciudades cabeceras de Departamento. Se comunicará también al Consejo Profesional de Ciencias Económicas de Entre Ríos y a la Facultad de Ciencias Económicas de la UNER.</w:t>
      </w:r>
      <w:r>
        <w:rPr>
          <w:rFonts w:ascii="Verdana" w:hAnsi="Verdana"/>
          <w:b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</w:rPr>
        <w:t>1.7 Inscripción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En fecha a definir, durante 1</w:t>
      </w:r>
      <w:r>
        <w:rPr>
          <w:rFonts w:ascii="Verdana" w:hAnsi="Verdana"/>
        </w:rPr>
        <w:t>5</w:t>
      </w:r>
      <w:r>
        <w:rPr>
          <w:rFonts w:ascii="Verdana" w:hAnsi="Verdana"/>
        </w:rPr>
        <w:t xml:space="preserve"> días, en la dirección de Gestión Humana de 08 a 12 hs.</w:t>
      </w:r>
      <w:r>
        <w:rPr>
          <w:rFonts w:ascii="Verdana" w:hAnsi="Verdana"/>
          <w:b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La inscripción se realizará mediante un formulario que será descargado por el/la aspirante desde la página web del Poder Judicial; su formato y contenido.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Obligatoriamente, deberá acompañarse al Cuadernillo mencionado y completo, la siguiente documentación original: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a) Documento Nacional de Identidad.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b) currículum vitae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c) Títulos de grado y post-grado exigidos en la Convocatoria, con sus debidas legalizaciones y habilitación de la autoridad de aplicación correspondiente al ejercicio profesional.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d) Certificado de Reincidencia expedido con una antelación no mayor a tres meses de la fecha de inicio del período de inscripción.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e) Documentación que acredite fehacientemente cada uno de los antecedentes invocados incluidas las publicaciones.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f) Los antecedentes invocados cuyas constancias se encuentren extendidas en idioma extranjero, solo serán considerados cuando se acompañen de una traducción realizada por traductor/a público/a matriculado.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 xml:space="preserve">g) Matrícula profesional correspondiente, con habilitación vigente, expedida por la respectiva autoridad administrativa de aplicación. 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Toda la documentación mencionada en los incisos anteriores se acompañará de copia certificada extendida por escribano/a público/a o funcionario/a público/a.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Al efectuarse la inscripción se cotejarán original y copia de la documentación mencionada en los incisos a) y b) precedentes y se devolverán los originales, excepto la referida en el inciso c) y e) precedentes.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Todos los datos suministrados por los/as aspirantes al inscribirse, así como el contenido de la documentación que los acredite, tienen carácter de declaración jurada. Toda inexactitud determinará la no consideración del antecedente erróneo y –según la gravedad de la falta-, la exclusión del concurso.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</w:rPr>
        <w:t>2. METODOLOGÍA DE TRABAJO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Desde la Dirección de Gestión Humana se propondrá un cronograma de reuniones detallando los hitos que deben cumplirse en cada una de ellas.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A su vez, la Dirección de Gestión Humana realizará el trabajo de procesamiento y análisis de la información obtenida en las distintas etapas y las pondrá a consideración en cada una de estas reuniones para que se pueda debatir sobre las mismas y alcanzar a un acuerdo.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</w:rPr>
        <w:t>Cada etapa del concurso será notificada a los concursantes, todas las notificaciones se realizarán vía correo electrónico.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160" w:before="0" w:line="360" w:lineRule="auto"/>
        <w:contextualSpacing w:val="false"/>
        <w:jc w:val="both"/>
      </w:pPr>
      <w:r>
        <w:rPr/>
        <w:drawing>
          <wp:inline distB="0" distL="0" distR="0" distT="0">
            <wp:extent cx="5400040" cy="26098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984" w:right="850" w:top="198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b w:val="false"/>
    </w:rPr>
  </w:style>
  <w:style w:styleId="style19" w:type="character">
    <w:name w:val="ListLabel 3"/>
    <w:next w:val="style19"/>
    <w:rPr>
      <w:rFonts w:cs="Calibri"/>
      <w:b w:val="false"/>
      <w:sz w:val="22"/>
      <w:szCs w:val="22"/>
    </w:rPr>
  </w:style>
  <w:style w:styleId="style20" w:type="character">
    <w:name w:val="ListLabel 4"/>
    <w:next w:val="style20"/>
    <w:rPr>
      <w:rFonts w:cs="Calibri"/>
      <w:b w:val="false"/>
    </w:rPr>
  </w:style>
  <w:style w:styleId="style21" w:type="character">
    <w:name w:val="ListLabel 5"/>
    <w:next w:val="style21"/>
    <w:rPr>
      <w:rFonts w:cs="Calibri"/>
    </w:rPr>
  </w:style>
  <w:style w:styleId="style22" w:type="character">
    <w:name w:val="ListLabel 6"/>
    <w:next w:val="style22"/>
    <w:rPr>
      <w:b w:val="false"/>
    </w:rPr>
  </w:style>
  <w:style w:styleId="style23" w:type="character">
    <w:name w:val="ListLabel 7"/>
    <w:next w:val="style23"/>
    <w:rPr>
      <w:rFonts w:cs="Symbol"/>
    </w:rPr>
  </w:style>
  <w:style w:styleId="style24" w:type="character">
    <w:name w:val="ListLabel 8"/>
    <w:next w:val="style24"/>
    <w:rPr>
      <w:rFonts w:cs="Courier New"/>
    </w:rPr>
  </w:style>
  <w:style w:styleId="style25" w:type="character">
    <w:name w:val="ListLabel 9"/>
    <w:next w:val="style25"/>
    <w:rPr>
      <w:rFonts w:cs="Wingdings"/>
    </w:rPr>
  </w:style>
  <w:style w:styleId="style26" w:type="paragraph">
    <w:name w:val="Encabezado"/>
    <w:basedOn w:val="style0"/>
    <w:next w:val="style2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7" w:type="paragraph">
    <w:name w:val="Cuerpo de texto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Etiqueta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Índice"/>
    <w:basedOn w:val="style0"/>
    <w:next w:val="style30"/>
    <w:pPr>
      <w:suppressLineNumbers/>
    </w:pPr>
    <w:rPr>
      <w:rFonts w:cs="Mangal"/>
    </w:rPr>
  </w:style>
  <w:style w:styleId="style31" w:type="paragraph">
    <w:name w:val="List Paragraph"/>
    <w:basedOn w:val="style0"/>
    <w:next w:val="style31"/>
    <w:pPr>
      <w:spacing w:after="160" w:before="0"/>
      <w:ind w:hanging="0" w:left="720" w:right="0"/>
      <w:contextualSpacing/>
    </w:pPr>
    <w:rPr/>
  </w:style>
  <w:style w:styleId="style32" w:type="paragraph">
    <w:name w:val="Normal (Web)"/>
    <w:basedOn w:val="style0"/>
    <w:next w:val="style3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s-AR"/>
    </w:rPr>
  </w:style>
  <w:style w:styleId="style33" w:type="paragraph">
    <w:name w:val="Cuerpo"/>
    <w:next w:val="style33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0"/>
      <w:sz w:val="22"/>
      <w:szCs w:val="22"/>
      <w:u w:val="none"/>
      <w:lang w:bidi="ar-SA" w:eastAsia="es-AR" w:val="de-DE"/>
    </w:rPr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2018-11-21T21:14:00.00Z</dcterms:created>
  <dc:creator>Joaquin Uranga</dc:creator>
  <cp:lastModifiedBy>Joaquin Uranga</cp:lastModifiedBy>
  <cp:lastPrinted>2018-12-03T08:12:08.42Z</cp:lastPrinted>
  <dcterms:modified xsi:type="dcterms:W3CDTF">2018-11-23T10:46:00.00Z</dcterms:modified>
  <cp:revision>3</cp:revision>
</cp:coreProperties>
</file>