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4E" w:rsidRPr="007933AE" w:rsidRDefault="0071644E" w:rsidP="005079F0">
      <w:pPr>
        <w:spacing w:before="100" w:beforeAutospacing="1" w:after="100" w:afterAutospacing="1"/>
        <w:rPr>
          <w:color w:val="000000" w:themeColor="text1"/>
          <w:sz w:val="24"/>
          <w:szCs w:val="24"/>
        </w:rPr>
      </w:pPr>
      <w:r w:rsidRPr="007933AE">
        <w:rPr>
          <w:color w:val="000000" w:themeColor="text1"/>
          <w:sz w:val="24"/>
          <w:szCs w:val="24"/>
        </w:rPr>
        <w:t>Informe CIEFCE Nº 2</w:t>
      </w:r>
      <w:r>
        <w:rPr>
          <w:color w:val="000000" w:themeColor="text1"/>
          <w:sz w:val="24"/>
          <w:szCs w:val="24"/>
        </w:rPr>
        <w:t>1</w:t>
      </w:r>
      <w:r w:rsidRPr="007933AE">
        <w:rPr>
          <w:color w:val="000000" w:themeColor="text1"/>
          <w:sz w:val="24"/>
          <w:szCs w:val="24"/>
        </w:rPr>
        <w:t xml:space="preserve">: </w:t>
      </w:r>
      <w:r w:rsidR="006608C7">
        <w:rPr>
          <w:color w:val="000000" w:themeColor="text1"/>
          <w:sz w:val="24"/>
          <w:szCs w:val="24"/>
        </w:rPr>
        <w:t>crecimiento y deuda externa</w:t>
      </w:r>
    </w:p>
    <w:p w:rsidR="0071644E" w:rsidRDefault="0071644E" w:rsidP="00882E86">
      <w:pPr>
        <w:spacing w:before="100" w:beforeAutospacing="1" w:after="100" w:afterAutospacing="1"/>
        <w:jc w:val="center"/>
        <w:rPr>
          <w:b/>
          <w:i/>
          <w:color w:val="000000" w:themeColor="text1"/>
          <w:sz w:val="28"/>
          <w:szCs w:val="28"/>
        </w:rPr>
      </w:pPr>
      <w:r>
        <w:rPr>
          <w:b/>
          <w:i/>
          <w:color w:val="000000" w:themeColor="text1"/>
          <w:sz w:val="28"/>
          <w:szCs w:val="28"/>
        </w:rPr>
        <w:t>Deuda pública externa y crecimiento económico en perspectiva histórica</w:t>
      </w:r>
    </w:p>
    <w:p w:rsidR="00F448CE" w:rsidRPr="00365398" w:rsidRDefault="00F448CE" w:rsidP="00F448CE">
      <w:pPr>
        <w:spacing w:before="100" w:beforeAutospacing="1" w:after="100" w:afterAutospacing="1"/>
        <w:rPr>
          <w:color w:val="000000" w:themeColor="text1"/>
          <w:sz w:val="24"/>
          <w:szCs w:val="24"/>
        </w:rPr>
      </w:pPr>
      <w:r w:rsidRPr="00365398">
        <w:rPr>
          <w:color w:val="000000" w:themeColor="text1"/>
          <w:sz w:val="24"/>
          <w:szCs w:val="24"/>
        </w:rPr>
        <w:t>Lic. Gabriel Weidmann – FCECO/UNER</w:t>
      </w:r>
    </w:p>
    <w:p w:rsidR="0071644E" w:rsidRPr="007933AE" w:rsidRDefault="0071644E" w:rsidP="00882E86">
      <w:pPr>
        <w:spacing w:before="100" w:beforeAutospacing="1" w:after="100" w:afterAutospacing="1"/>
        <w:jc w:val="center"/>
        <w:rPr>
          <w:color w:val="000000" w:themeColor="text1"/>
          <w:sz w:val="24"/>
          <w:szCs w:val="24"/>
        </w:rPr>
      </w:pPr>
      <w:r w:rsidRPr="007933AE">
        <w:rPr>
          <w:b/>
          <w:color w:val="000000" w:themeColor="text1"/>
          <w:sz w:val="24"/>
          <w:szCs w:val="24"/>
        </w:rPr>
        <w:t>Resumen</w:t>
      </w:r>
    </w:p>
    <w:p w:rsidR="0071644E" w:rsidRDefault="0071644E" w:rsidP="0071644E">
      <w:pPr>
        <w:spacing w:before="100" w:beforeAutospacing="1" w:after="100" w:afterAutospacing="1"/>
        <w:jc w:val="both"/>
        <w:rPr>
          <w:color w:val="000000" w:themeColor="text1"/>
          <w:sz w:val="24"/>
          <w:szCs w:val="24"/>
        </w:rPr>
      </w:pPr>
      <w:r>
        <w:rPr>
          <w:color w:val="000000" w:themeColor="text1"/>
          <w:sz w:val="24"/>
          <w:szCs w:val="24"/>
        </w:rPr>
        <w:t>E</w:t>
      </w:r>
      <w:r w:rsidR="0062024A">
        <w:rPr>
          <w:color w:val="000000" w:themeColor="text1"/>
          <w:sz w:val="24"/>
          <w:szCs w:val="24"/>
        </w:rPr>
        <w:t xml:space="preserve">n el </w:t>
      </w:r>
      <w:r>
        <w:rPr>
          <w:color w:val="000000" w:themeColor="text1"/>
          <w:sz w:val="24"/>
          <w:szCs w:val="24"/>
        </w:rPr>
        <w:t xml:space="preserve">presente </w:t>
      </w:r>
      <w:r w:rsidR="0062024A">
        <w:rPr>
          <w:color w:val="000000" w:themeColor="text1"/>
          <w:sz w:val="24"/>
          <w:szCs w:val="24"/>
        </w:rPr>
        <w:t>trabajo</w:t>
      </w:r>
      <w:r w:rsidR="00CD4E8D">
        <w:rPr>
          <w:color w:val="000000" w:themeColor="text1"/>
          <w:sz w:val="24"/>
          <w:szCs w:val="24"/>
        </w:rPr>
        <w:t xml:space="preserve"> </w:t>
      </w:r>
      <w:r w:rsidR="0062024A">
        <w:rPr>
          <w:color w:val="000000" w:themeColor="text1"/>
          <w:sz w:val="24"/>
          <w:szCs w:val="24"/>
        </w:rPr>
        <w:t xml:space="preserve">se </w:t>
      </w:r>
      <w:r>
        <w:rPr>
          <w:color w:val="000000" w:themeColor="text1"/>
          <w:sz w:val="24"/>
          <w:szCs w:val="24"/>
        </w:rPr>
        <w:t>pretende</w:t>
      </w:r>
      <w:r w:rsidR="00F448CE">
        <w:rPr>
          <w:color w:val="000000" w:themeColor="text1"/>
          <w:sz w:val="24"/>
          <w:szCs w:val="24"/>
        </w:rPr>
        <w:t>n</w:t>
      </w:r>
      <w:r>
        <w:rPr>
          <w:color w:val="000000" w:themeColor="text1"/>
          <w:sz w:val="24"/>
          <w:szCs w:val="24"/>
        </w:rPr>
        <w:t xml:space="preserve"> ampliar las conclusiones planteadas </w:t>
      </w:r>
      <w:r w:rsidR="00F448CE">
        <w:rPr>
          <w:color w:val="000000" w:themeColor="text1"/>
          <w:sz w:val="24"/>
          <w:szCs w:val="24"/>
        </w:rPr>
        <w:t xml:space="preserve">en el </w:t>
      </w:r>
      <w:r w:rsidR="0062024A">
        <w:rPr>
          <w:color w:val="000000" w:themeColor="text1"/>
          <w:sz w:val="24"/>
          <w:szCs w:val="24"/>
        </w:rPr>
        <w:t>I</w:t>
      </w:r>
      <w:r>
        <w:rPr>
          <w:color w:val="000000" w:themeColor="text1"/>
          <w:sz w:val="24"/>
          <w:szCs w:val="24"/>
        </w:rPr>
        <w:t xml:space="preserve">nforme </w:t>
      </w:r>
      <w:r w:rsidR="0062024A">
        <w:rPr>
          <w:color w:val="000000" w:themeColor="text1"/>
          <w:sz w:val="24"/>
          <w:szCs w:val="24"/>
        </w:rPr>
        <w:t xml:space="preserve">N° </w:t>
      </w:r>
      <w:r>
        <w:rPr>
          <w:color w:val="000000" w:themeColor="text1"/>
          <w:sz w:val="24"/>
          <w:szCs w:val="24"/>
        </w:rPr>
        <w:t xml:space="preserve">20 del CIEFCE, poniendo en perspectiva histórica el desempeño conjunto de dos variables claves para el país, a saber: el crecimiento económico y la acumulación de deuda pública externa. Comparando </w:t>
      </w:r>
      <w:r w:rsidR="00F448CE">
        <w:rPr>
          <w:color w:val="000000" w:themeColor="text1"/>
          <w:sz w:val="24"/>
          <w:szCs w:val="24"/>
        </w:rPr>
        <w:t>el desenvolvimiento</w:t>
      </w:r>
      <w:r>
        <w:rPr>
          <w:color w:val="000000" w:themeColor="text1"/>
          <w:sz w:val="24"/>
          <w:szCs w:val="24"/>
        </w:rPr>
        <w:t xml:space="preserve"> de estas dos variables en los distintos gobiernos </w:t>
      </w:r>
      <w:r w:rsidR="00882E86">
        <w:rPr>
          <w:color w:val="000000" w:themeColor="text1"/>
          <w:sz w:val="24"/>
          <w:szCs w:val="24"/>
        </w:rPr>
        <w:t>democráticos</w:t>
      </w:r>
      <w:r w:rsidR="00F448CE">
        <w:rPr>
          <w:color w:val="000000" w:themeColor="text1"/>
          <w:sz w:val="24"/>
          <w:szCs w:val="24"/>
        </w:rPr>
        <w:t xml:space="preserve"> cuyos períodos de gestión superaron los tres años continuos, se ponen de manifiesto </w:t>
      </w:r>
      <w:r w:rsidR="0092372F">
        <w:rPr>
          <w:color w:val="000000" w:themeColor="text1"/>
          <w:sz w:val="24"/>
          <w:szCs w:val="24"/>
        </w:rPr>
        <w:t>ciertas</w:t>
      </w:r>
      <w:r w:rsidR="00F448CE">
        <w:rPr>
          <w:color w:val="000000" w:themeColor="text1"/>
          <w:sz w:val="24"/>
          <w:szCs w:val="24"/>
        </w:rPr>
        <w:t xml:space="preserve"> características de la realidad </w:t>
      </w:r>
      <w:r w:rsidR="0092372F">
        <w:rPr>
          <w:color w:val="000000" w:themeColor="text1"/>
          <w:sz w:val="24"/>
          <w:szCs w:val="24"/>
        </w:rPr>
        <w:t>actual</w:t>
      </w:r>
      <w:r>
        <w:rPr>
          <w:color w:val="000000" w:themeColor="text1"/>
          <w:sz w:val="24"/>
          <w:szCs w:val="24"/>
        </w:rPr>
        <w:t>.</w:t>
      </w:r>
    </w:p>
    <w:p w:rsidR="0071644E" w:rsidRPr="00EB39E9" w:rsidRDefault="0071644E" w:rsidP="0071644E">
      <w:pPr>
        <w:spacing w:before="100" w:beforeAutospacing="1" w:after="100" w:afterAutospacing="1"/>
        <w:jc w:val="both"/>
        <w:rPr>
          <w:b/>
          <w:i/>
          <w:color w:val="000000" w:themeColor="text1"/>
          <w:sz w:val="24"/>
          <w:szCs w:val="24"/>
        </w:rPr>
      </w:pPr>
      <w:r w:rsidRPr="00EB39E9">
        <w:rPr>
          <w:b/>
          <w:i/>
          <w:color w:val="000000" w:themeColor="text1"/>
          <w:sz w:val="24"/>
          <w:szCs w:val="24"/>
        </w:rPr>
        <w:t>El desempeño económico 2016-2018 y la perspectiva 2019</w:t>
      </w:r>
    </w:p>
    <w:p w:rsidR="00F968A3" w:rsidRDefault="0071644E" w:rsidP="0071644E">
      <w:pPr>
        <w:spacing w:before="100" w:beforeAutospacing="1" w:after="100" w:afterAutospacing="1"/>
        <w:jc w:val="both"/>
        <w:rPr>
          <w:color w:val="000000" w:themeColor="text1"/>
          <w:sz w:val="24"/>
          <w:szCs w:val="24"/>
        </w:rPr>
      </w:pPr>
      <w:r>
        <w:rPr>
          <w:color w:val="000000" w:themeColor="text1"/>
          <w:sz w:val="24"/>
          <w:szCs w:val="24"/>
        </w:rPr>
        <w:t xml:space="preserve">Amplio ha sido el debate respecto a la magnitud y devenir de la actual contracción económica de Argentina. En el informe CIEFCE </w:t>
      </w:r>
      <w:r w:rsidR="0062024A">
        <w:rPr>
          <w:color w:val="000000" w:themeColor="text1"/>
          <w:sz w:val="24"/>
          <w:szCs w:val="24"/>
        </w:rPr>
        <w:t xml:space="preserve">N° </w:t>
      </w:r>
      <w:r>
        <w:rPr>
          <w:color w:val="000000" w:themeColor="text1"/>
          <w:sz w:val="24"/>
          <w:szCs w:val="24"/>
        </w:rPr>
        <w:t>20 se realizó u</w:t>
      </w:r>
      <w:r w:rsidR="00400044">
        <w:rPr>
          <w:color w:val="000000" w:themeColor="text1"/>
          <w:sz w:val="24"/>
          <w:szCs w:val="24"/>
        </w:rPr>
        <w:t xml:space="preserve">na lectura de la coyuntura macroeconómica del país, resaltando la caída del PBI de los últimos 3 años en comparación con </w:t>
      </w:r>
      <w:r w:rsidR="00F968A3">
        <w:rPr>
          <w:color w:val="000000" w:themeColor="text1"/>
          <w:sz w:val="24"/>
          <w:szCs w:val="24"/>
        </w:rPr>
        <w:t xml:space="preserve">gobiernos democráticos anteriores que hayan gobernado por lo menos un período similar al presente. Asimismo, también se resaltó el magro desempeño de la economía </w:t>
      </w:r>
      <w:r w:rsidR="0062024A">
        <w:rPr>
          <w:color w:val="000000" w:themeColor="text1"/>
          <w:sz w:val="24"/>
          <w:szCs w:val="24"/>
        </w:rPr>
        <w:t>nacional</w:t>
      </w:r>
      <w:r w:rsidR="00F968A3">
        <w:rPr>
          <w:color w:val="000000" w:themeColor="text1"/>
          <w:sz w:val="24"/>
          <w:szCs w:val="24"/>
        </w:rPr>
        <w:t xml:space="preserve"> en términos regionales</w:t>
      </w:r>
      <w:r w:rsidR="00873E03">
        <w:rPr>
          <w:color w:val="000000" w:themeColor="text1"/>
          <w:sz w:val="24"/>
          <w:szCs w:val="24"/>
        </w:rPr>
        <w:t xml:space="preserve"> y mundiales</w:t>
      </w:r>
      <w:r w:rsidR="00882E86">
        <w:rPr>
          <w:color w:val="000000" w:themeColor="text1"/>
          <w:sz w:val="24"/>
          <w:szCs w:val="24"/>
        </w:rPr>
        <w:t>, y la inestabilidad macroeconómica que transita.</w:t>
      </w:r>
    </w:p>
    <w:p w:rsidR="00F968A3" w:rsidRDefault="00F968A3" w:rsidP="0071644E">
      <w:pPr>
        <w:spacing w:before="100" w:beforeAutospacing="1" w:after="100" w:afterAutospacing="1"/>
        <w:jc w:val="both"/>
        <w:rPr>
          <w:color w:val="000000" w:themeColor="text1"/>
          <w:sz w:val="24"/>
          <w:szCs w:val="24"/>
        </w:rPr>
      </w:pPr>
      <w:r>
        <w:rPr>
          <w:color w:val="000000" w:themeColor="text1"/>
          <w:sz w:val="24"/>
          <w:szCs w:val="24"/>
        </w:rPr>
        <w:t xml:space="preserve">En este sentido, es necesario enfocar la problemática en la dinámica que ha tenido el endeudamiento público externo en el actual gobierno, y </w:t>
      </w:r>
      <w:r w:rsidR="005079F0">
        <w:rPr>
          <w:color w:val="000000" w:themeColor="text1"/>
          <w:sz w:val="24"/>
          <w:szCs w:val="24"/>
        </w:rPr>
        <w:t xml:space="preserve">la posibilidad de entender la misma </w:t>
      </w:r>
      <w:r>
        <w:rPr>
          <w:color w:val="000000" w:themeColor="text1"/>
          <w:sz w:val="24"/>
          <w:szCs w:val="24"/>
        </w:rPr>
        <w:t xml:space="preserve">en términos históricos. </w:t>
      </w:r>
      <w:r w:rsidR="00873E03">
        <w:rPr>
          <w:color w:val="000000" w:themeColor="text1"/>
          <w:sz w:val="24"/>
          <w:szCs w:val="24"/>
        </w:rPr>
        <w:t xml:space="preserve">En distintos informes anteriores del CIEFCE se ha resaltado la preocupación respecto a las consecuencias que tendrán a futuro el endeudamiento externo, ya que </w:t>
      </w:r>
      <w:r w:rsidR="0015627A">
        <w:rPr>
          <w:color w:val="000000" w:themeColor="text1"/>
          <w:sz w:val="24"/>
          <w:szCs w:val="24"/>
        </w:rPr>
        <w:t>su efecto e</w:t>
      </w:r>
      <w:r w:rsidR="00873E03">
        <w:rPr>
          <w:color w:val="000000" w:themeColor="text1"/>
          <w:sz w:val="24"/>
          <w:szCs w:val="24"/>
        </w:rPr>
        <w:t>conómic</w:t>
      </w:r>
      <w:r w:rsidR="0015627A">
        <w:rPr>
          <w:color w:val="000000" w:themeColor="text1"/>
          <w:sz w:val="24"/>
          <w:szCs w:val="24"/>
        </w:rPr>
        <w:t>o</w:t>
      </w:r>
      <w:r w:rsidR="00873E03">
        <w:rPr>
          <w:color w:val="000000" w:themeColor="text1"/>
          <w:sz w:val="24"/>
          <w:szCs w:val="24"/>
        </w:rPr>
        <w:t xml:space="preserve"> es ampliamente conocid</w:t>
      </w:r>
      <w:r w:rsidR="0015627A">
        <w:rPr>
          <w:color w:val="000000" w:themeColor="text1"/>
          <w:sz w:val="24"/>
          <w:szCs w:val="24"/>
        </w:rPr>
        <w:t>o</w:t>
      </w:r>
      <w:r w:rsidR="00873E03">
        <w:rPr>
          <w:color w:val="000000" w:themeColor="text1"/>
          <w:sz w:val="24"/>
          <w:szCs w:val="24"/>
        </w:rPr>
        <w:t xml:space="preserve">. </w:t>
      </w:r>
      <w:r w:rsidR="0015627A">
        <w:rPr>
          <w:color w:val="000000" w:themeColor="text1"/>
          <w:sz w:val="24"/>
          <w:szCs w:val="24"/>
        </w:rPr>
        <w:t>Por tanto</w:t>
      </w:r>
      <w:r w:rsidR="00873E03">
        <w:rPr>
          <w:color w:val="000000" w:themeColor="text1"/>
          <w:sz w:val="24"/>
          <w:szCs w:val="24"/>
        </w:rPr>
        <w:t>, interesa aquí resaltar la particularidad de la situación actual</w:t>
      </w:r>
      <w:r w:rsidR="0015627A">
        <w:rPr>
          <w:color w:val="000000" w:themeColor="text1"/>
          <w:sz w:val="24"/>
          <w:szCs w:val="24"/>
        </w:rPr>
        <w:t xml:space="preserve"> en comparación con otros gobiernos democráticos. </w:t>
      </w:r>
    </w:p>
    <w:p w:rsidR="007756A2" w:rsidRDefault="000A0136" w:rsidP="0071644E">
      <w:pPr>
        <w:spacing w:before="100" w:beforeAutospacing="1" w:after="100" w:afterAutospacing="1"/>
        <w:jc w:val="both"/>
        <w:rPr>
          <w:color w:val="000000" w:themeColor="text1"/>
          <w:sz w:val="24"/>
          <w:szCs w:val="24"/>
        </w:rPr>
      </w:pPr>
      <w:r>
        <w:rPr>
          <w:color w:val="000000" w:themeColor="text1"/>
          <w:sz w:val="24"/>
          <w:szCs w:val="24"/>
        </w:rPr>
        <w:t>Superada la crisis mundial de entreguerras, el</w:t>
      </w:r>
      <w:r w:rsidR="00412512">
        <w:rPr>
          <w:color w:val="000000" w:themeColor="text1"/>
          <w:sz w:val="24"/>
          <w:szCs w:val="24"/>
        </w:rPr>
        <w:t xml:space="preserve"> </w:t>
      </w:r>
      <w:r>
        <w:rPr>
          <w:color w:val="000000" w:themeColor="text1"/>
          <w:sz w:val="24"/>
          <w:szCs w:val="24"/>
        </w:rPr>
        <w:t>“</w:t>
      </w:r>
      <w:r w:rsidR="009577CF">
        <w:rPr>
          <w:color w:val="000000" w:themeColor="text1"/>
          <w:sz w:val="24"/>
          <w:szCs w:val="24"/>
        </w:rPr>
        <w:t>frente externo</w:t>
      </w:r>
      <w:r>
        <w:rPr>
          <w:color w:val="000000" w:themeColor="text1"/>
          <w:sz w:val="24"/>
          <w:szCs w:val="24"/>
        </w:rPr>
        <w:t>”</w:t>
      </w:r>
      <w:r w:rsidR="009577CF">
        <w:rPr>
          <w:color w:val="000000" w:themeColor="text1"/>
          <w:sz w:val="24"/>
          <w:szCs w:val="24"/>
        </w:rPr>
        <w:t xml:space="preserve"> se presenta</w:t>
      </w:r>
      <w:r>
        <w:rPr>
          <w:color w:val="000000" w:themeColor="text1"/>
          <w:sz w:val="24"/>
          <w:szCs w:val="24"/>
        </w:rPr>
        <w:t>, para la Argentina,</w:t>
      </w:r>
      <w:r w:rsidR="009577CF">
        <w:rPr>
          <w:color w:val="000000" w:themeColor="text1"/>
          <w:sz w:val="24"/>
          <w:szCs w:val="24"/>
        </w:rPr>
        <w:t xml:space="preserve"> como un</w:t>
      </w:r>
      <w:r w:rsidR="000F7EFB">
        <w:rPr>
          <w:color w:val="000000" w:themeColor="text1"/>
          <w:sz w:val="24"/>
          <w:szCs w:val="24"/>
        </w:rPr>
        <w:t xml:space="preserve">a de sus principales limitantes </w:t>
      </w:r>
      <w:r>
        <w:rPr>
          <w:color w:val="000000" w:themeColor="text1"/>
          <w:sz w:val="24"/>
          <w:szCs w:val="24"/>
        </w:rPr>
        <w:t>al</w:t>
      </w:r>
      <w:r w:rsidR="000F7EFB">
        <w:rPr>
          <w:color w:val="000000" w:themeColor="text1"/>
          <w:sz w:val="24"/>
          <w:szCs w:val="24"/>
        </w:rPr>
        <w:t xml:space="preserve"> crecimiento económico. </w:t>
      </w:r>
      <w:r>
        <w:rPr>
          <w:color w:val="000000" w:themeColor="text1"/>
          <w:sz w:val="24"/>
          <w:szCs w:val="24"/>
        </w:rPr>
        <w:t>Se trata de la llamada</w:t>
      </w:r>
      <w:r w:rsidR="000F7EFB">
        <w:rPr>
          <w:color w:val="000000" w:themeColor="text1"/>
          <w:sz w:val="24"/>
          <w:szCs w:val="24"/>
        </w:rPr>
        <w:t xml:space="preserve"> “restricción externa”, donde </w:t>
      </w:r>
      <w:r w:rsidR="00696B85">
        <w:rPr>
          <w:color w:val="000000" w:themeColor="text1"/>
          <w:sz w:val="24"/>
          <w:szCs w:val="24"/>
        </w:rPr>
        <w:t>la expansión</w:t>
      </w:r>
      <w:r w:rsidR="000F7EFB">
        <w:rPr>
          <w:color w:val="000000" w:themeColor="text1"/>
          <w:sz w:val="24"/>
          <w:szCs w:val="24"/>
        </w:rPr>
        <w:t xml:space="preserve"> del producto </w:t>
      </w:r>
      <w:r w:rsidR="009470A1">
        <w:rPr>
          <w:color w:val="000000" w:themeColor="text1"/>
          <w:sz w:val="24"/>
          <w:szCs w:val="24"/>
        </w:rPr>
        <w:t xml:space="preserve">se </w:t>
      </w:r>
      <w:r w:rsidR="00696B85">
        <w:rPr>
          <w:color w:val="000000" w:themeColor="text1"/>
          <w:sz w:val="24"/>
          <w:szCs w:val="24"/>
        </w:rPr>
        <w:t xml:space="preserve">ve obstaculizada </w:t>
      </w:r>
      <w:r w:rsidR="009470A1">
        <w:rPr>
          <w:color w:val="000000" w:themeColor="text1"/>
          <w:sz w:val="24"/>
          <w:szCs w:val="24"/>
        </w:rPr>
        <w:t xml:space="preserve">por la insuficiencia de dólares dado </w:t>
      </w:r>
      <w:r>
        <w:rPr>
          <w:color w:val="000000" w:themeColor="text1"/>
          <w:sz w:val="24"/>
          <w:szCs w:val="24"/>
        </w:rPr>
        <w:t xml:space="preserve">el </w:t>
      </w:r>
      <w:r w:rsidR="009470A1">
        <w:rPr>
          <w:color w:val="000000" w:themeColor="text1"/>
          <w:sz w:val="24"/>
          <w:szCs w:val="24"/>
        </w:rPr>
        <w:t xml:space="preserve">perfil </w:t>
      </w:r>
      <w:r w:rsidR="00696B85">
        <w:rPr>
          <w:color w:val="000000" w:themeColor="text1"/>
          <w:sz w:val="24"/>
          <w:szCs w:val="24"/>
        </w:rPr>
        <w:t xml:space="preserve">netamente </w:t>
      </w:r>
      <w:r>
        <w:rPr>
          <w:color w:val="000000" w:themeColor="text1"/>
          <w:sz w:val="24"/>
          <w:szCs w:val="24"/>
        </w:rPr>
        <w:t>agro-</w:t>
      </w:r>
      <w:r w:rsidR="009470A1">
        <w:rPr>
          <w:color w:val="000000" w:themeColor="text1"/>
          <w:sz w:val="24"/>
          <w:szCs w:val="24"/>
        </w:rPr>
        <w:t>exportador</w:t>
      </w:r>
      <w:r w:rsidR="00696B85">
        <w:rPr>
          <w:color w:val="000000" w:themeColor="text1"/>
          <w:sz w:val="24"/>
          <w:szCs w:val="24"/>
        </w:rPr>
        <w:t xml:space="preserve">. Este problema ha tratado de resolverse de </w:t>
      </w:r>
      <w:r w:rsidR="00C95C0D">
        <w:rPr>
          <w:color w:val="000000" w:themeColor="text1"/>
          <w:sz w:val="24"/>
          <w:szCs w:val="24"/>
        </w:rPr>
        <w:t>dos formas</w:t>
      </w:r>
      <w:r w:rsidR="00696B85">
        <w:rPr>
          <w:color w:val="000000" w:themeColor="text1"/>
          <w:sz w:val="24"/>
          <w:szCs w:val="24"/>
        </w:rPr>
        <w:t>,en ocasiones combinadas, pero donde una u otra predomina</w:t>
      </w:r>
      <w:r w:rsidR="007756A2">
        <w:rPr>
          <w:color w:val="000000" w:themeColor="text1"/>
          <w:sz w:val="24"/>
          <w:szCs w:val="24"/>
        </w:rPr>
        <w:t xml:space="preserve">: a través de </w:t>
      </w:r>
      <w:r w:rsidR="0015627A">
        <w:rPr>
          <w:color w:val="000000" w:themeColor="text1"/>
          <w:sz w:val="24"/>
          <w:szCs w:val="24"/>
        </w:rPr>
        <w:t>regulaciones</w:t>
      </w:r>
      <w:r w:rsidR="007756A2">
        <w:rPr>
          <w:color w:val="000000" w:themeColor="text1"/>
          <w:sz w:val="24"/>
          <w:szCs w:val="24"/>
        </w:rPr>
        <w:t xml:space="preserve"> en el sector externo</w:t>
      </w:r>
      <w:r w:rsidR="0015627A">
        <w:rPr>
          <w:color w:val="000000" w:themeColor="text1"/>
          <w:sz w:val="24"/>
          <w:szCs w:val="24"/>
        </w:rPr>
        <w:t xml:space="preserve"> (control de cambios)</w:t>
      </w:r>
      <w:r w:rsidR="007756A2">
        <w:rPr>
          <w:color w:val="000000" w:themeColor="text1"/>
          <w:sz w:val="24"/>
          <w:szCs w:val="24"/>
        </w:rPr>
        <w:t xml:space="preserve">, o </w:t>
      </w:r>
      <w:r w:rsidR="0015627A">
        <w:rPr>
          <w:color w:val="000000" w:themeColor="text1"/>
          <w:sz w:val="24"/>
          <w:szCs w:val="24"/>
        </w:rPr>
        <w:t>mediante</w:t>
      </w:r>
      <w:r w:rsidR="007756A2">
        <w:rPr>
          <w:color w:val="000000" w:themeColor="text1"/>
          <w:sz w:val="24"/>
          <w:szCs w:val="24"/>
        </w:rPr>
        <w:t xml:space="preserve"> endeudamiento </w:t>
      </w:r>
      <w:r w:rsidR="0015627A">
        <w:rPr>
          <w:color w:val="000000" w:themeColor="text1"/>
          <w:sz w:val="24"/>
          <w:szCs w:val="24"/>
        </w:rPr>
        <w:t>internacional</w:t>
      </w:r>
      <w:r w:rsidR="007756A2">
        <w:rPr>
          <w:color w:val="000000" w:themeColor="text1"/>
          <w:sz w:val="24"/>
          <w:szCs w:val="24"/>
        </w:rPr>
        <w:t xml:space="preserve"> que financie </w:t>
      </w:r>
      <w:r w:rsidR="00882E86">
        <w:rPr>
          <w:color w:val="000000" w:themeColor="text1"/>
          <w:sz w:val="24"/>
          <w:szCs w:val="24"/>
        </w:rPr>
        <w:t>este</w:t>
      </w:r>
      <w:r w:rsidR="007756A2">
        <w:rPr>
          <w:color w:val="000000" w:themeColor="text1"/>
          <w:sz w:val="24"/>
          <w:szCs w:val="24"/>
        </w:rPr>
        <w:t xml:space="preserve"> desequilibrio</w:t>
      </w:r>
      <w:r w:rsidR="0015627A">
        <w:rPr>
          <w:color w:val="000000" w:themeColor="text1"/>
          <w:sz w:val="24"/>
          <w:szCs w:val="24"/>
        </w:rPr>
        <w:t>; ambas se han combinado, en algunas circunstancias, con sendas devaluaciones</w:t>
      </w:r>
      <w:r w:rsidR="007756A2">
        <w:rPr>
          <w:color w:val="000000" w:themeColor="text1"/>
          <w:sz w:val="24"/>
          <w:szCs w:val="24"/>
        </w:rPr>
        <w:t>.</w:t>
      </w:r>
    </w:p>
    <w:p w:rsidR="002425AE" w:rsidRDefault="0096245E" w:rsidP="00696B85">
      <w:pPr>
        <w:spacing w:before="100" w:beforeAutospacing="1" w:after="100" w:afterAutospacing="1"/>
        <w:jc w:val="both"/>
        <w:rPr>
          <w:color w:val="000000" w:themeColor="text1"/>
          <w:sz w:val="24"/>
          <w:szCs w:val="24"/>
        </w:rPr>
      </w:pPr>
      <w:r>
        <w:rPr>
          <w:color w:val="000000" w:themeColor="text1"/>
          <w:sz w:val="24"/>
          <w:szCs w:val="24"/>
        </w:rPr>
        <w:lastRenderedPageBreak/>
        <w:t xml:space="preserve">En este contexto, </w:t>
      </w:r>
      <w:r w:rsidR="00696B85">
        <w:rPr>
          <w:color w:val="000000" w:themeColor="text1"/>
          <w:sz w:val="24"/>
          <w:szCs w:val="24"/>
        </w:rPr>
        <w:t>el Gobierno actual optó por el segundo mecanismo. Abandonó el control de cambio (“cepo”) y apeló a</w:t>
      </w:r>
      <w:r>
        <w:rPr>
          <w:color w:val="000000" w:themeColor="text1"/>
          <w:sz w:val="24"/>
          <w:szCs w:val="24"/>
        </w:rPr>
        <w:t xml:space="preserve"> un proceso de endeudamiento externo del sector público de magnitudes históricas. En los tres primeros años de gestión, según los datos de</w:t>
      </w:r>
      <w:r w:rsidR="0083364A">
        <w:rPr>
          <w:color w:val="000000" w:themeColor="text1"/>
          <w:sz w:val="24"/>
          <w:szCs w:val="24"/>
        </w:rPr>
        <w:t>l INDEC</w:t>
      </w:r>
      <w:r>
        <w:rPr>
          <w:color w:val="000000" w:themeColor="text1"/>
          <w:sz w:val="24"/>
          <w:szCs w:val="24"/>
        </w:rPr>
        <w:t xml:space="preserve">, la deuda externa pública casi llega a duplicarse, aumentando </w:t>
      </w:r>
      <w:r w:rsidR="000A0136">
        <w:rPr>
          <w:color w:val="000000" w:themeColor="text1"/>
          <w:sz w:val="24"/>
          <w:szCs w:val="24"/>
        </w:rPr>
        <w:t xml:space="preserve">un </w:t>
      </w:r>
      <w:r>
        <w:rPr>
          <w:color w:val="000000" w:themeColor="text1"/>
          <w:sz w:val="24"/>
          <w:szCs w:val="24"/>
        </w:rPr>
        <w:t>94%</w:t>
      </w:r>
      <w:r w:rsidR="00214A10">
        <w:rPr>
          <w:color w:val="000000" w:themeColor="text1"/>
          <w:sz w:val="24"/>
          <w:szCs w:val="24"/>
        </w:rPr>
        <w:t xml:space="preserve"> entre fines de 2015 y fines de 2018</w:t>
      </w:r>
      <w:r w:rsidR="009F645B">
        <w:rPr>
          <w:color w:val="000000" w:themeColor="text1"/>
          <w:sz w:val="24"/>
          <w:szCs w:val="24"/>
        </w:rPr>
        <w:t>, lo que representa un crecimiento anual promedio del 24%</w:t>
      </w:r>
      <w:r w:rsidR="00214A10">
        <w:rPr>
          <w:color w:val="000000" w:themeColor="text1"/>
          <w:sz w:val="24"/>
          <w:szCs w:val="24"/>
        </w:rPr>
        <w:t xml:space="preserve">. </w:t>
      </w:r>
      <w:r w:rsidR="009F645B">
        <w:rPr>
          <w:color w:val="000000" w:themeColor="text1"/>
          <w:sz w:val="24"/>
          <w:szCs w:val="24"/>
        </w:rPr>
        <w:t xml:space="preserve">Asimismo, como se planteó en el informe CIEFCE N° 20, este gobierno también ha sido uno de los que ha tenido peores </w:t>
      </w:r>
      <w:r w:rsidR="007E56AA">
        <w:rPr>
          <w:color w:val="000000" w:themeColor="text1"/>
          <w:sz w:val="24"/>
          <w:szCs w:val="24"/>
        </w:rPr>
        <w:t>desempeños en términos de crecimiento económico.</w:t>
      </w:r>
      <w:r w:rsidR="00BE7936">
        <w:rPr>
          <w:color w:val="000000" w:themeColor="text1"/>
          <w:sz w:val="24"/>
          <w:szCs w:val="24"/>
        </w:rPr>
        <w:t xml:space="preserve"> Ahora</w:t>
      </w:r>
      <w:r w:rsidR="000A0136">
        <w:rPr>
          <w:color w:val="000000" w:themeColor="text1"/>
          <w:sz w:val="24"/>
          <w:szCs w:val="24"/>
        </w:rPr>
        <w:t xml:space="preserve"> bien</w:t>
      </w:r>
      <w:r w:rsidR="00BE7936">
        <w:rPr>
          <w:color w:val="000000" w:themeColor="text1"/>
          <w:sz w:val="24"/>
          <w:szCs w:val="24"/>
        </w:rPr>
        <w:t xml:space="preserve">, </w:t>
      </w:r>
      <w:r w:rsidR="00065CC0">
        <w:rPr>
          <w:color w:val="000000" w:themeColor="text1"/>
          <w:sz w:val="24"/>
          <w:szCs w:val="24"/>
        </w:rPr>
        <w:t xml:space="preserve">luego de 3 años de gestión, </w:t>
      </w:r>
      <w:r w:rsidR="00BE7936">
        <w:rPr>
          <w:color w:val="000000" w:themeColor="text1"/>
          <w:sz w:val="24"/>
          <w:szCs w:val="24"/>
        </w:rPr>
        <w:t xml:space="preserve">es necesario </w:t>
      </w:r>
      <w:r w:rsidR="00065CC0">
        <w:rPr>
          <w:color w:val="000000" w:themeColor="text1"/>
          <w:sz w:val="24"/>
          <w:szCs w:val="24"/>
        </w:rPr>
        <w:t xml:space="preserve">preguntarse ¿Cómo se ubica esta experiencia </w:t>
      </w:r>
      <w:r w:rsidR="005079F0">
        <w:rPr>
          <w:color w:val="000000" w:themeColor="text1"/>
          <w:sz w:val="24"/>
          <w:szCs w:val="24"/>
        </w:rPr>
        <w:t xml:space="preserve">de deuda-crecimiento </w:t>
      </w:r>
      <w:r w:rsidR="00065CC0">
        <w:rPr>
          <w:color w:val="000000" w:themeColor="text1"/>
          <w:sz w:val="24"/>
          <w:szCs w:val="24"/>
        </w:rPr>
        <w:t>frente a otros gobiernos democráticos que hayan gobernado también al menos 3 años?</w:t>
      </w:r>
    </w:p>
    <w:p w:rsidR="007E56AA" w:rsidRDefault="00065CC0" w:rsidP="0071644E">
      <w:pPr>
        <w:spacing w:before="100" w:beforeAutospacing="1" w:after="100" w:afterAutospacing="1"/>
        <w:jc w:val="both"/>
        <w:rPr>
          <w:color w:val="000000" w:themeColor="text1"/>
          <w:sz w:val="24"/>
          <w:szCs w:val="24"/>
        </w:rPr>
      </w:pPr>
      <w:r>
        <w:rPr>
          <w:color w:val="000000" w:themeColor="text1"/>
          <w:sz w:val="24"/>
          <w:szCs w:val="24"/>
        </w:rPr>
        <w:t xml:space="preserve">Para tal fin, el </w:t>
      </w:r>
      <w:r w:rsidR="0083364A">
        <w:rPr>
          <w:color w:val="000000" w:themeColor="text1"/>
          <w:sz w:val="24"/>
          <w:szCs w:val="24"/>
        </w:rPr>
        <w:t>G</w:t>
      </w:r>
      <w:r>
        <w:rPr>
          <w:color w:val="000000" w:themeColor="text1"/>
          <w:sz w:val="24"/>
          <w:szCs w:val="24"/>
        </w:rPr>
        <w:t xml:space="preserve">ráfico 1 plantea dicha comparación, </w:t>
      </w:r>
      <w:r w:rsidR="00794E19">
        <w:rPr>
          <w:color w:val="000000" w:themeColor="text1"/>
          <w:sz w:val="24"/>
          <w:szCs w:val="24"/>
        </w:rPr>
        <w:t>representando</w:t>
      </w:r>
      <w:r>
        <w:rPr>
          <w:color w:val="000000" w:themeColor="text1"/>
          <w:sz w:val="24"/>
          <w:szCs w:val="24"/>
        </w:rPr>
        <w:t xml:space="preserve"> la combinación del desempeño de las variables de interés. Allí </w:t>
      </w:r>
      <w:r w:rsidR="00DE6A5C">
        <w:rPr>
          <w:color w:val="000000" w:themeColor="text1"/>
          <w:sz w:val="24"/>
          <w:szCs w:val="24"/>
        </w:rPr>
        <w:t xml:space="preserve">se presenta la comparación de las distintas experiencias de gobiernos democráticos que hayan </w:t>
      </w:r>
      <w:r w:rsidR="005079F0">
        <w:rPr>
          <w:color w:val="000000" w:themeColor="text1"/>
          <w:sz w:val="24"/>
          <w:szCs w:val="24"/>
        </w:rPr>
        <w:t>gestionado</w:t>
      </w:r>
      <w:r w:rsidR="00DE6A5C">
        <w:rPr>
          <w:color w:val="000000" w:themeColor="text1"/>
          <w:sz w:val="24"/>
          <w:szCs w:val="24"/>
        </w:rPr>
        <w:t xml:space="preserve"> al menos 3 años. En el mismo, el eje horizontal representa la tasa anual promedio de variación del PBI, mientras que el eje vertical representa la tasa de variación promedio de la Deuda Externa Pública. </w:t>
      </w:r>
      <w:r w:rsidR="00794E19">
        <w:rPr>
          <w:color w:val="000000" w:themeColor="text1"/>
          <w:sz w:val="24"/>
          <w:szCs w:val="24"/>
        </w:rPr>
        <w:t>Por lo tanto</w:t>
      </w:r>
      <w:r w:rsidR="00DE6A5C">
        <w:rPr>
          <w:color w:val="000000" w:themeColor="text1"/>
          <w:sz w:val="24"/>
          <w:szCs w:val="24"/>
        </w:rPr>
        <w:t xml:space="preserve">, cada punto representa </w:t>
      </w:r>
      <w:r w:rsidR="005C4A9F">
        <w:rPr>
          <w:color w:val="000000" w:themeColor="text1"/>
          <w:sz w:val="24"/>
          <w:szCs w:val="24"/>
        </w:rPr>
        <w:t xml:space="preserve">la conjunción de ambas variables para </w:t>
      </w:r>
      <w:r w:rsidR="005079F0">
        <w:rPr>
          <w:color w:val="000000" w:themeColor="text1"/>
          <w:sz w:val="24"/>
          <w:szCs w:val="24"/>
        </w:rPr>
        <w:t>los distintos</w:t>
      </w:r>
      <w:r w:rsidR="00DE6A5C">
        <w:rPr>
          <w:color w:val="000000" w:themeColor="text1"/>
          <w:sz w:val="24"/>
          <w:szCs w:val="24"/>
        </w:rPr>
        <w:t xml:space="preserve"> gobierno</w:t>
      </w:r>
      <w:r w:rsidR="005079F0">
        <w:rPr>
          <w:color w:val="000000" w:themeColor="text1"/>
          <w:sz w:val="24"/>
          <w:szCs w:val="24"/>
        </w:rPr>
        <w:t>s</w:t>
      </w:r>
      <w:r w:rsidR="005C4A9F">
        <w:rPr>
          <w:color w:val="000000" w:themeColor="text1"/>
          <w:sz w:val="24"/>
          <w:szCs w:val="24"/>
        </w:rPr>
        <w:t>.</w:t>
      </w:r>
      <w:r w:rsidR="00794E19">
        <w:rPr>
          <w:color w:val="000000" w:themeColor="text1"/>
          <w:sz w:val="24"/>
          <w:szCs w:val="24"/>
        </w:rPr>
        <w:t>En</w:t>
      </w:r>
      <w:r w:rsidR="00DA2284">
        <w:rPr>
          <w:color w:val="000000" w:themeColor="text1"/>
          <w:sz w:val="24"/>
          <w:szCs w:val="24"/>
        </w:rPr>
        <w:t xml:space="preserve"> la construcción del mismo se emplearon datos del INDEC, Banco Central de la República Argentina y la Fundación Norte y Sur.</w:t>
      </w:r>
    </w:p>
    <w:p w:rsidR="00794E19" w:rsidRPr="00D71DE1" w:rsidRDefault="00794E19" w:rsidP="00794E19">
      <w:pPr>
        <w:pStyle w:val="Epgrafe"/>
        <w:keepNext/>
        <w:spacing w:after="0"/>
        <w:jc w:val="center"/>
        <w:rPr>
          <w:color w:val="auto"/>
          <w:sz w:val="24"/>
        </w:rPr>
      </w:pPr>
      <w:r w:rsidRPr="00D71DE1">
        <w:rPr>
          <w:color w:val="auto"/>
          <w:sz w:val="24"/>
        </w:rPr>
        <w:t xml:space="preserve">Gráfico </w:t>
      </w:r>
      <w:r w:rsidR="00647365" w:rsidRPr="00D71DE1">
        <w:rPr>
          <w:color w:val="auto"/>
          <w:sz w:val="24"/>
        </w:rPr>
        <w:fldChar w:fldCharType="begin"/>
      </w:r>
      <w:r w:rsidRPr="00D71DE1">
        <w:rPr>
          <w:color w:val="auto"/>
          <w:sz w:val="24"/>
        </w:rPr>
        <w:instrText xml:space="preserve"> SEQ Gráfico \* ARABIC </w:instrText>
      </w:r>
      <w:r w:rsidR="00647365" w:rsidRPr="00D71DE1">
        <w:rPr>
          <w:color w:val="auto"/>
          <w:sz w:val="24"/>
        </w:rPr>
        <w:fldChar w:fldCharType="separate"/>
      </w:r>
      <w:r w:rsidRPr="00D71DE1">
        <w:rPr>
          <w:noProof/>
          <w:color w:val="auto"/>
          <w:sz w:val="24"/>
        </w:rPr>
        <w:t>1</w:t>
      </w:r>
      <w:r w:rsidR="00647365" w:rsidRPr="00D71DE1">
        <w:rPr>
          <w:color w:val="auto"/>
          <w:sz w:val="24"/>
        </w:rPr>
        <w:fldChar w:fldCharType="end"/>
      </w:r>
      <w:r w:rsidRPr="00D71DE1">
        <w:rPr>
          <w:color w:val="auto"/>
          <w:sz w:val="24"/>
        </w:rPr>
        <w:t>: Variación anual de crecimiento del PBI y del crecimiento de la Deuda Externa Pública. Gobiernos democráticos de al menos 3 años de gestión</w:t>
      </w:r>
    </w:p>
    <w:p w:rsidR="00794E19" w:rsidRDefault="00794E19" w:rsidP="00794E19">
      <w:pPr>
        <w:spacing w:after="0"/>
      </w:pPr>
    </w:p>
    <w:p w:rsidR="00E11903" w:rsidRDefault="00E11903" w:rsidP="00794E19">
      <w:pPr>
        <w:spacing w:after="0"/>
        <w:rPr>
          <w:i/>
          <w:sz w:val="20"/>
        </w:rPr>
      </w:pPr>
      <w:r>
        <w:rPr>
          <w:noProof/>
          <w:lang w:val="es-MX" w:eastAsia="es-MX"/>
        </w:rPr>
        <w:drawing>
          <wp:inline distT="0" distB="0" distL="0" distR="0">
            <wp:extent cx="5400040" cy="3340735"/>
            <wp:effectExtent l="0" t="0" r="0" b="0"/>
            <wp:docPr id="2" name="Gráfico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D4DB131-CA57-408D-850C-EC16C2F2AE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94E19" w:rsidRPr="00A726BF" w:rsidRDefault="00794E19" w:rsidP="00794E19">
      <w:pPr>
        <w:spacing w:after="0"/>
        <w:rPr>
          <w:i/>
          <w:sz w:val="20"/>
        </w:rPr>
      </w:pPr>
      <w:r w:rsidRPr="00A726BF">
        <w:rPr>
          <w:i/>
          <w:sz w:val="20"/>
        </w:rPr>
        <w:t>Fuente: elaboración propia en base a datos INDEC y Fundación Norte y Sur</w:t>
      </w:r>
    </w:p>
    <w:p w:rsidR="00794E19" w:rsidRDefault="00794E19" w:rsidP="00794E19"/>
    <w:p w:rsidR="00A30DAD" w:rsidRDefault="00A30DAD" w:rsidP="0071644E">
      <w:pPr>
        <w:spacing w:before="100" w:beforeAutospacing="1" w:after="100" w:afterAutospacing="1"/>
        <w:jc w:val="both"/>
        <w:rPr>
          <w:color w:val="000000" w:themeColor="text1"/>
          <w:sz w:val="24"/>
          <w:szCs w:val="24"/>
        </w:rPr>
      </w:pPr>
      <w:r>
        <w:rPr>
          <w:color w:val="000000" w:themeColor="text1"/>
          <w:sz w:val="24"/>
          <w:szCs w:val="24"/>
        </w:rPr>
        <w:lastRenderedPageBreak/>
        <w:t>A partir de estas posibilidades, se determina</w:t>
      </w:r>
      <w:r w:rsidR="005079F0">
        <w:rPr>
          <w:color w:val="000000" w:themeColor="text1"/>
          <w:sz w:val="24"/>
          <w:szCs w:val="24"/>
        </w:rPr>
        <w:t>n cuat</w:t>
      </w:r>
      <w:r>
        <w:rPr>
          <w:color w:val="000000" w:themeColor="text1"/>
          <w:sz w:val="24"/>
          <w:szCs w:val="24"/>
        </w:rPr>
        <w:t xml:space="preserve">ro cuadrantes, es decir, 4 posibles combinaciones: el </w:t>
      </w:r>
      <w:r w:rsidR="00065CC0" w:rsidRPr="00B84796">
        <w:rPr>
          <w:b/>
          <w:color w:val="000000" w:themeColor="text1"/>
          <w:sz w:val="24"/>
          <w:szCs w:val="24"/>
        </w:rPr>
        <w:t xml:space="preserve">primer </w:t>
      </w:r>
      <w:r w:rsidRPr="00B84796">
        <w:rPr>
          <w:b/>
          <w:color w:val="000000" w:themeColor="text1"/>
          <w:sz w:val="24"/>
          <w:szCs w:val="24"/>
        </w:rPr>
        <w:t>cuadrante</w:t>
      </w:r>
      <w:r w:rsidR="005079F0">
        <w:rPr>
          <w:color w:val="000000" w:themeColor="text1"/>
          <w:sz w:val="24"/>
          <w:szCs w:val="24"/>
        </w:rPr>
        <w:t>,</w:t>
      </w:r>
      <w:r w:rsidR="00CD4E8D">
        <w:rPr>
          <w:color w:val="000000" w:themeColor="text1"/>
          <w:sz w:val="24"/>
          <w:szCs w:val="24"/>
        </w:rPr>
        <w:t xml:space="preserve"> </w:t>
      </w:r>
      <w:r w:rsidR="005079F0">
        <w:rPr>
          <w:color w:val="000000" w:themeColor="text1"/>
          <w:sz w:val="24"/>
          <w:szCs w:val="24"/>
        </w:rPr>
        <w:t>superior-izquierdo,</w:t>
      </w:r>
      <w:r>
        <w:rPr>
          <w:color w:val="000000" w:themeColor="text1"/>
          <w:sz w:val="24"/>
          <w:szCs w:val="24"/>
        </w:rPr>
        <w:t xml:space="preserve"> representa la combinación de contracción económica con aumento de deuda externa</w:t>
      </w:r>
      <w:r w:rsidR="00CD4E8D">
        <w:rPr>
          <w:color w:val="000000" w:themeColor="text1"/>
          <w:sz w:val="24"/>
          <w:szCs w:val="24"/>
        </w:rPr>
        <w:t xml:space="preserve"> </w:t>
      </w:r>
      <w:r w:rsidR="00C01FEF">
        <w:rPr>
          <w:color w:val="000000" w:themeColor="text1"/>
          <w:sz w:val="24"/>
          <w:szCs w:val="24"/>
        </w:rPr>
        <w:t xml:space="preserve">pública </w:t>
      </w:r>
      <w:r w:rsidR="005079F0">
        <w:rPr>
          <w:color w:val="000000" w:themeColor="text1"/>
          <w:sz w:val="24"/>
          <w:szCs w:val="24"/>
        </w:rPr>
        <w:t>(el peor de los escenarios)</w:t>
      </w:r>
      <w:r w:rsidR="00B84796">
        <w:rPr>
          <w:color w:val="000000" w:themeColor="text1"/>
          <w:sz w:val="24"/>
          <w:szCs w:val="24"/>
        </w:rPr>
        <w:t xml:space="preserve"> –este es el cuadrante en que se ubicaría la dictadura 1976/1983–</w:t>
      </w:r>
      <w:r>
        <w:rPr>
          <w:color w:val="000000" w:themeColor="text1"/>
          <w:sz w:val="24"/>
          <w:szCs w:val="24"/>
        </w:rPr>
        <w:t>; el</w:t>
      </w:r>
      <w:r w:rsidR="00065CC0" w:rsidRPr="00B84796">
        <w:rPr>
          <w:b/>
          <w:color w:val="000000" w:themeColor="text1"/>
          <w:sz w:val="24"/>
          <w:szCs w:val="24"/>
        </w:rPr>
        <w:t>segundo</w:t>
      </w:r>
      <w:r w:rsidRPr="00B84796">
        <w:rPr>
          <w:b/>
          <w:color w:val="000000" w:themeColor="text1"/>
          <w:sz w:val="24"/>
          <w:szCs w:val="24"/>
        </w:rPr>
        <w:t xml:space="preserve"> cuadrante</w:t>
      </w:r>
      <w:r w:rsidR="005079F0">
        <w:rPr>
          <w:color w:val="000000" w:themeColor="text1"/>
          <w:sz w:val="24"/>
          <w:szCs w:val="24"/>
        </w:rPr>
        <w:t>, superior-derecho,</w:t>
      </w:r>
      <w:r>
        <w:rPr>
          <w:color w:val="000000" w:themeColor="text1"/>
          <w:sz w:val="24"/>
          <w:szCs w:val="24"/>
        </w:rPr>
        <w:t xml:space="preserve"> combina endeudamiento púbico externo con crecimiento económico; el</w:t>
      </w:r>
      <w:r w:rsidR="00CD4E8D">
        <w:rPr>
          <w:color w:val="000000" w:themeColor="text1"/>
          <w:sz w:val="24"/>
          <w:szCs w:val="24"/>
        </w:rPr>
        <w:t xml:space="preserve"> </w:t>
      </w:r>
      <w:r w:rsidR="00065CC0" w:rsidRPr="00B84796">
        <w:rPr>
          <w:b/>
          <w:color w:val="000000" w:themeColor="text1"/>
          <w:sz w:val="24"/>
          <w:szCs w:val="24"/>
        </w:rPr>
        <w:t>tercer</w:t>
      </w:r>
      <w:r w:rsidR="005079F0" w:rsidRPr="00B84796">
        <w:rPr>
          <w:b/>
          <w:color w:val="000000" w:themeColor="text1"/>
          <w:sz w:val="24"/>
          <w:szCs w:val="24"/>
        </w:rPr>
        <w:t xml:space="preserve"> cuadrante</w:t>
      </w:r>
      <w:r w:rsidR="005079F0">
        <w:rPr>
          <w:color w:val="000000" w:themeColor="text1"/>
          <w:sz w:val="24"/>
          <w:szCs w:val="24"/>
        </w:rPr>
        <w:t>, inferior-izquierdo,</w:t>
      </w:r>
      <w:r>
        <w:rPr>
          <w:color w:val="000000" w:themeColor="text1"/>
          <w:sz w:val="24"/>
          <w:szCs w:val="24"/>
        </w:rPr>
        <w:t xml:space="preserve"> representa la situación de desendeudamiento con contracción económica; y el </w:t>
      </w:r>
      <w:r w:rsidR="00065CC0" w:rsidRPr="00B84796">
        <w:rPr>
          <w:b/>
          <w:color w:val="000000" w:themeColor="text1"/>
          <w:sz w:val="24"/>
          <w:szCs w:val="24"/>
        </w:rPr>
        <w:t>cuarto cuadrante</w:t>
      </w:r>
      <w:r>
        <w:rPr>
          <w:color w:val="000000" w:themeColor="text1"/>
          <w:sz w:val="24"/>
          <w:szCs w:val="24"/>
        </w:rPr>
        <w:t xml:space="preserve">, </w:t>
      </w:r>
      <w:r w:rsidR="005079F0">
        <w:rPr>
          <w:color w:val="000000" w:themeColor="text1"/>
          <w:sz w:val="24"/>
          <w:szCs w:val="24"/>
        </w:rPr>
        <w:t>inferior-derecho (el escenario más conveniente</w:t>
      </w:r>
      <w:r w:rsidR="00B84796">
        <w:rPr>
          <w:color w:val="000000" w:themeColor="text1"/>
          <w:sz w:val="24"/>
          <w:szCs w:val="24"/>
        </w:rPr>
        <w:t xml:space="preserve"> en términos de sustentabilidad</w:t>
      </w:r>
      <w:r w:rsidR="005079F0">
        <w:rPr>
          <w:color w:val="000000" w:themeColor="text1"/>
          <w:sz w:val="24"/>
          <w:szCs w:val="24"/>
        </w:rPr>
        <w:t>)</w:t>
      </w:r>
      <w:r>
        <w:rPr>
          <w:color w:val="000000" w:themeColor="text1"/>
          <w:sz w:val="24"/>
          <w:szCs w:val="24"/>
        </w:rPr>
        <w:t>, representa la combinación de desendeudamiento con crecimiento económico.</w:t>
      </w:r>
    </w:p>
    <w:p w:rsidR="00047E46" w:rsidRDefault="005079F0" w:rsidP="0071644E">
      <w:pPr>
        <w:spacing w:before="100" w:beforeAutospacing="1" w:after="100" w:afterAutospacing="1"/>
        <w:jc w:val="both"/>
        <w:rPr>
          <w:color w:val="000000" w:themeColor="text1"/>
          <w:sz w:val="24"/>
          <w:szCs w:val="24"/>
        </w:rPr>
      </w:pPr>
      <w:r>
        <w:rPr>
          <w:color w:val="000000" w:themeColor="text1"/>
          <w:sz w:val="24"/>
          <w:szCs w:val="24"/>
        </w:rPr>
        <w:t xml:space="preserve">En el </w:t>
      </w:r>
      <w:r w:rsidRPr="00592135">
        <w:rPr>
          <w:b/>
          <w:color w:val="000000" w:themeColor="text1"/>
          <w:sz w:val="24"/>
          <w:szCs w:val="24"/>
        </w:rPr>
        <w:t>cuarto</w:t>
      </w:r>
      <w:r w:rsidR="00592135" w:rsidRPr="00592135">
        <w:rPr>
          <w:b/>
          <w:color w:val="000000" w:themeColor="text1"/>
          <w:sz w:val="24"/>
          <w:szCs w:val="24"/>
        </w:rPr>
        <w:t xml:space="preserve"> cuadrante</w:t>
      </w:r>
      <w:r w:rsidR="00047E46">
        <w:rPr>
          <w:color w:val="000000" w:themeColor="text1"/>
          <w:sz w:val="24"/>
          <w:szCs w:val="24"/>
        </w:rPr>
        <w:t xml:space="preserve"> se destacan las gestiones que mantuvieron crecimiento económico en forma conjunta con desendeudamiento. Aquí se </w:t>
      </w:r>
      <w:r w:rsidR="00B84796">
        <w:rPr>
          <w:color w:val="000000" w:themeColor="text1"/>
          <w:sz w:val="24"/>
          <w:szCs w:val="24"/>
        </w:rPr>
        <w:t xml:space="preserve">ubicanlas </w:t>
      </w:r>
      <w:r w:rsidR="00047E46">
        <w:rPr>
          <w:color w:val="000000" w:themeColor="text1"/>
          <w:sz w:val="24"/>
          <w:szCs w:val="24"/>
        </w:rPr>
        <w:t>dos gestiones de Perón</w:t>
      </w:r>
      <w:r w:rsidR="00B84796">
        <w:rPr>
          <w:color w:val="000000" w:themeColor="text1"/>
          <w:sz w:val="24"/>
          <w:szCs w:val="24"/>
        </w:rPr>
        <w:t xml:space="preserve"> (1946/52-1952/55)</w:t>
      </w:r>
      <w:r w:rsidR="00047E46">
        <w:rPr>
          <w:color w:val="000000" w:themeColor="text1"/>
          <w:sz w:val="24"/>
          <w:szCs w:val="24"/>
        </w:rPr>
        <w:t>, el leve desendeudamiento de la primera presidencia de Yrigoyen</w:t>
      </w:r>
      <w:r w:rsidR="00B84796">
        <w:rPr>
          <w:color w:val="000000" w:themeColor="text1"/>
          <w:sz w:val="24"/>
          <w:szCs w:val="24"/>
        </w:rPr>
        <w:t xml:space="preserve"> (1916/22)</w:t>
      </w:r>
      <w:r>
        <w:rPr>
          <w:color w:val="000000" w:themeColor="text1"/>
          <w:sz w:val="24"/>
          <w:szCs w:val="24"/>
        </w:rPr>
        <w:t xml:space="preserve"> y de la presidencia de Arturo Illia</w:t>
      </w:r>
      <w:r w:rsidR="00B84796">
        <w:rPr>
          <w:color w:val="000000" w:themeColor="text1"/>
          <w:sz w:val="24"/>
          <w:szCs w:val="24"/>
        </w:rPr>
        <w:t xml:space="preserve"> (1963/66)</w:t>
      </w:r>
      <w:r>
        <w:rPr>
          <w:color w:val="000000" w:themeColor="text1"/>
          <w:sz w:val="24"/>
          <w:szCs w:val="24"/>
        </w:rPr>
        <w:t>, así como</w:t>
      </w:r>
      <w:r w:rsidR="00047E46">
        <w:rPr>
          <w:color w:val="000000" w:themeColor="text1"/>
          <w:sz w:val="24"/>
          <w:szCs w:val="24"/>
        </w:rPr>
        <w:t xml:space="preserve"> la presidencia de Kirchner</w:t>
      </w:r>
      <w:r w:rsidR="00B84796">
        <w:rPr>
          <w:color w:val="000000" w:themeColor="text1"/>
          <w:sz w:val="24"/>
          <w:szCs w:val="24"/>
        </w:rPr>
        <w:t xml:space="preserve"> (2003/07)</w:t>
      </w:r>
      <w:r w:rsidR="00047E46">
        <w:rPr>
          <w:color w:val="000000" w:themeColor="text1"/>
          <w:sz w:val="24"/>
          <w:szCs w:val="24"/>
        </w:rPr>
        <w:t xml:space="preserve">, donde se contrajo la deuda externa del país mientras se creció en promedio al 8,8% anual. </w:t>
      </w:r>
      <w:r w:rsidR="0068656E">
        <w:rPr>
          <w:color w:val="000000" w:themeColor="text1"/>
          <w:sz w:val="24"/>
          <w:szCs w:val="24"/>
        </w:rPr>
        <w:t xml:space="preserve">Si bien quedan claras las virtudes de esta situación, el contexto económico de cada una de estas experiencias </w:t>
      </w:r>
      <w:r w:rsidR="005B0567">
        <w:rPr>
          <w:color w:val="000000" w:themeColor="text1"/>
          <w:sz w:val="24"/>
          <w:szCs w:val="24"/>
        </w:rPr>
        <w:t>tuvo</w:t>
      </w:r>
      <w:r w:rsidR="0068656E">
        <w:rPr>
          <w:color w:val="000000" w:themeColor="text1"/>
          <w:sz w:val="24"/>
          <w:szCs w:val="24"/>
        </w:rPr>
        <w:t xml:space="preserve"> un</w:t>
      </w:r>
      <w:r w:rsidR="005B0567">
        <w:rPr>
          <w:color w:val="000000" w:themeColor="text1"/>
          <w:sz w:val="24"/>
          <w:szCs w:val="24"/>
        </w:rPr>
        <w:t xml:space="preserve"> rol</w:t>
      </w:r>
      <w:r>
        <w:rPr>
          <w:color w:val="000000" w:themeColor="text1"/>
          <w:sz w:val="24"/>
          <w:szCs w:val="24"/>
        </w:rPr>
        <w:t xml:space="preserve"> decisivo</w:t>
      </w:r>
      <w:r w:rsidR="005B0567">
        <w:rPr>
          <w:color w:val="000000" w:themeColor="text1"/>
          <w:sz w:val="24"/>
          <w:szCs w:val="24"/>
        </w:rPr>
        <w:t>.</w:t>
      </w:r>
    </w:p>
    <w:p w:rsidR="005B0567" w:rsidRDefault="00B20CAD" w:rsidP="0071644E">
      <w:pPr>
        <w:spacing w:before="100" w:beforeAutospacing="1" w:after="100" w:afterAutospacing="1"/>
        <w:jc w:val="both"/>
        <w:rPr>
          <w:color w:val="000000" w:themeColor="text1"/>
          <w:sz w:val="24"/>
          <w:szCs w:val="24"/>
        </w:rPr>
      </w:pPr>
      <w:r>
        <w:rPr>
          <w:color w:val="000000" w:themeColor="text1"/>
          <w:sz w:val="24"/>
          <w:szCs w:val="24"/>
        </w:rPr>
        <w:t xml:space="preserve">El </w:t>
      </w:r>
      <w:r w:rsidR="00592135" w:rsidRPr="00592135">
        <w:rPr>
          <w:b/>
          <w:color w:val="000000" w:themeColor="text1"/>
          <w:sz w:val="24"/>
          <w:szCs w:val="24"/>
        </w:rPr>
        <w:t xml:space="preserve">segundo </w:t>
      </w:r>
      <w:r w:rsidRPr="00592135">
        <w:rPr>
          <w:b/>
          <w:color w:val="000000" w:themeColor="text1"/>
          <w:sz w:val="24"/>
          <w:szCs w:val="24"/>
        </w:rPr>
        <w:t>cuadrante</w:t>
      </w:r>
      <w:r>
        <w:rPr>
          <w:color w:val="000000" w:themeColor="text1"/>
          <w:sz w:val="24"/>
          <w:szCs w:val="24"/>
        </w:rPr>
        <w:t xml:space="preserve"> encuentra </w:t>
      </w:r>
      <w:r w:rsidR="0067094C">
        <w:rPr>
          <w:color w:val="000000" w:themeColor="text1"/>
          <w:sz w:val="24"/>
          <w:szCs w:val="24"/>
        </w:rPr>
        <w:t>aquell</w:t>
      </w:r>
      <w:r w:rsidR="00894B6B">
        <w:rPr>
          <w:color w:val="000000" w:themeColor="text1"/>
          <w:sz w:val="24"/>
          <w:szCs w:val="24"/>
        </w:rPr>
        <w:t>a</w:t>
      </w:r>
      <w:r w:rsidR="0067094C">
        <w:rPr>
          <w:color w:val="000000" w:themeColor="text1"/>
          <w:sz w:val="24"/>
          <w:szCs w:val="24"/>
        </w:rPr>
        <w:t>s experiencias</w:t>
      </w:r>
      <w:r w:rsidR="00E9522F">
        <w:rPr>
          <w:color w:val="000000" w:themeColor="text1"/>
          <w:sz w:val="24"/>
          <w:szCs w:val="24"/>
        </w:rPr>
        <w:t xml:space="preserve"> donde ambas variables crecieron en promedio a lo largo del período de cada gobierno, es decir, expansión del PBI y del stock de Deuda Externa Pública. Aquí se identifican los dos gobiernos de Menem</w:t>
      </w:r>
      <w:r w:rsidR="00592135">
        <w:rPr>
          <w:color w:val="000000" w:themeColor="text1"/>
          <w:sz w:val="24"/>
          <w:szCs w:val="24"/>
        </w:rPr>
        <w:t xml:space="preserve"> (1989/95-1995/99)</w:t>
      </w:r>
      <w:r w:rsidR="00E9522F">
        <w:rPr>
          <w:color w:val="000000" w:themeColor="text1"/>
          <w:sz w:val="24"/>
          <w:szCs w:val="24"/>
        </w:rPr>
        <w:t xml:space="preserve"> así como de </w:t>
      </w:r>
      <w:r w:rsidR="005079F0">
        <w:rPr>
          <w:color w:val="000000" w:themeColor="text1"/>
          <w:sz w:val="24"/>
          <w:szCs w:val="24"/>
        </w:rPr>
        <w:t xml:space="preserve">Cristina </w:t>
      </w:r>
      <w:r w:rsidR="00065CC0">
        <w:rPr>
          <w:color w:val="000000" w:themeColor="text1"/>
          <w:sz w:val="24"/>
          <w:szCs w:val="24"/>
        </w:rPr>
        <w:t>Fernández de Kirchner</w:t>
      </w:r>
      <w:r w:rsidR="00592135">
        <w:rPr>
          <w:color w:val="000000" w:themeColor="text1"/>
          <w:sz w:val="24"/>
          <w:szCs w:val="24"/>
        </w:rPr>
        <w:t xml:space="preserve"> (2007/11-2011/15)</w:t>
      </w:r>
      <w:r w:rsidR="00E9522F">
        <w:rPr>
          <w:color w:val="000000" w:themeColor="text1"/>
          <w:sz w:val="24"/>
          <w:szCs w:val="24"/>
        </w:rPr>
        <w:t xml:space="preserve">, en distintas dimensiones. </w:t>
      </w:r>
      <w:r w:rsidR="00DF7D7C">
        <w:rPr>
          <w:color w:val="000000" w:themeColor="text1"/>
          <w:sz w:val="24"/>
          <w:szCs w:val="24"/>
        </w:rPr>
        <w:t xml:space="preserve">Por el lado del gobierno menemista, se </w:t>
      </w:r>
      <w:r w:rsidR="00592135">
        <w:rPr>
          <w:color w:val="000000" w:themeColor="text1"/>
          <w:sz w:val="24"/>
          <w:szCs w:val="24"/>
        </w:rPr>
        <w:t>financiaron</w:t>
      </w:r>
      <w:r w:rsidR="00DF7D7C">
        <w:rPr>
          <w:color w:val="000000" w:themeColor="text1"/>
          <w:sz w:val="24"/>
          <w:szCs w:val="24"/>
        </w:rPr>
        <w:t xml:space="preserve"> los constantes desequilibrios externos a través, entre otros aspectos, del </w:t>
      </w:r>
      <w:r w:rsidR="00592135">
        <w:rPr>
          <w:color w:val="000000" w:themeColor="text1"/>
          <w:sz w:val="24"/>
          <w:szCs w:val="24"/>
        </w:rPr>
        <w:t>crédito</w:t>
      </w:r>
      <w:r w:rsidR="00DF7D7C">
        <w:rPr>
          <w:color w:val="000000" w:themeColor="text1"/>
          <w:sz w:val="24"/>
          <w:szCs w:val="24"/>
        </w:rPr>
        <w:t xml:space="preserve"> externo</w:t>
      </w:r>
      <w:r w:rsidR="005079F0">
        <w:rPr>
          <w:color w:val="000000" w:themeColor="text1"/>
          <w:sz w:val="24"/>
          <w:szCs w:val="24"/>
        </w:rPr>
        <w:t>, al tiempo que el crecimiento se agotó hacia fines de la gestión</w:t>
      </w:r>
      <w:r w:rsidR="00DF7D7C">
        <w:rPr>
          <w:color w:val="000000" w:themeColor="text1"/>
          <w:sz w:val="24"/>
          <w:szCs w:val="24"/>
        </w:rPr>
        <w:t xml:space="preserve">. En cuanto al gobierno de Fernández de Kirchner, el financiamiento externo se incrementó hacia </w:t>
      </w:r>
      <w:r w:rsidR="005079F0">
        <w:rPr>
          <w:color w:val="000000" w:themeColor="text1"/>
          <w:sz w:val="24"/>
          <w:szCs w:val="24"/>
        </w:rPr>
        <w:t>la última etapa de</w:t>
      </w:r>
      <w:r w:rsidR="00DF7D7C">
        <w:rPr>
          <w:color w:val="000000" w:themeColor="text1"/>
          <w:sz w:val="24"/>
          <w:szCs w:val="24"/>
        </w:rPr>
        <w:t xml:space="preserve"> su mandato, concentrándose principalmente en los 2 años </w:t>
      </w:r>
      <w:r w:rsidR="005079F0">
        <w:rPr>
          <w:color w:val="000000" w:themeColor="text1"/>
          <w:sz w:val="24"/>
          <w:szCs w:val="24"/>
        </w:rPr>
        <w:t xml:space="preserve">finales </w:t>
      </w:r>
      <w:r w:rsidR="00DF7D7C">
        <w:rPr>
          <w:color w:val="000000" w:themeColor="text1"/>
          <w:sz w:val="24"/>
          <w:szCs w:val="24"/>
        </w:rPr>
        <w:t>de gestión</w:t>
      </w:r>
      <w:r w:rsidR="00592135">
        <w:rPr>
          <w:color w:val="000000" w:themeColor="text1"/>
          <w:sz w:val="24"/>
          <w:szCs w:val="24"/>
        </w:rPr>
        <w:t>, donde el crecimiento mermó (2014/15)</w:t>
      </w:r>
      <w:r w:rsidR="00DF7D7C">
        <w:rPr>
          <w:color w:val="000000" w:themeColor="text1"/>
          <w:sz w:val="24"/>
          <w:szCs w:val="24"/>
        </w:rPr>
        <w:t>.</w:t>
      </w:r>
      <w:r w:rsidR="008949B5">
        <w:rPr>
          <w:color w:val="000000" w:themeColor="text1"/>
          <w:sz w:val="24"/>
          <w:szCs w:val="24"/>
        </w:rPr>
        <w:t xml:space="preserve"> En este cuadrante, asimismo, debería ubicarse el gobierno de Frondizi,</w:t>
      </w:r>
      <w:r w:rsidR="00D71DE1">
        <w:rPr>
          <w:color w:val="000000" w:themeColor="text1"/>
          <w:sz w:val="24"/>
          <w:szCs w:val="24"/>
        </w:rPr>
        <w:t xml:space="preserve"> durante el cual el PBI también se expandió (+3,7% promedio anual) con incremento de la deuda externa pública, pero partiendo de una situación de ausencia de deuda pública externa a comienzos de la gestión</w:t>
      </w:r>
      <w:r w:rsidR="005079F0">
        <w:rPr>
          <w:color w:val="000000" w:themeColor="text1"/>
          <w:sz w:val="24"/>
          <w:szCs w:val="24"/>
        </w:rPr>
        <w:t>, para</w:t>
      </w:r>
      <w:r w:rsidR="00D71DE1">
        <w:rPr>
          <w:color w:val="000000" w:themeColor="text1"/>
          <w:sz w:val="24"/>
          <w:szCs w:val="24"/>
        </w:rPr>
        <w:t xml:space="preserve"> terminar la misma con poco más de 2,5 mil millones de dólares de endeudamiento.</w:t>
      </w:r>
    </w:p>
    <w:p w:rsidR="00DF7D7C" w:rsidRDefault="00DE4001" w:rsidP="0071644E">
      <w:pPr>
        <w:spacing w:before="100" w:beforeAutospacing="1" w:after="100" w:afterAutospacing="1"/>
        <w:jc w:val="both"/>
        <w:rPr>
          <w:color w:val="000000" w:themeColor="text1"/>
          <w:sz w:val="24"/>
          <w:szCs w:val="24"/>
        </w:rPr>
      </w:pPr>
      <w:r>
        <w:rPr>
          <w:color w:val="000000" w:themeColor="text1"/>
          <w:sz w:val="24"/>
          <w:szCs w:val="24"/>
        </w:rPr>
        <w:t xml:space="preserve">Asimismo, en el </w:t>
      </w:r>
      <w:r w:rsidRPr="0016222B">
        <w:rPr>
          <w:b/>
          <w:color w:val="000000" w:themeColor="text1"/>
          <w:sz w:val="24"/>
          <w:szCs w:val="24"/>
        </w:rPr>
        <w:t>cuadrante uno</w:t>
      </w:r>
      <w:r>
        <w:rPr>
          <w:color w:val="000000" w:themeColor="text1"/>
          <w:sz w:val="24"/>
          <w:szCs w:val="24"/>
        </w:rPr>
        <w:t xml:space="preserve"> se encuentran dos experiencias</w:t>
      </w:r>
      <w:r w:rsidR="0016222B">
        <w:rPr>
          <w:color w:val="000000" w:themeColor="text1"/>
          <w:sz w:val="24"/>
          <w:szCs w:val="24"/>
        </w:rPr>
        <w:t xml:space="preserve"> democráticas</w:t>
      </w:r>
      <w:r>
        <w:rPr>
          <w:color w:val="000000" w:themeColor="text1"/>
          <w:sz w:val="24"/>
          <w:szCs w:val="24"/>
        </w:rPr>
        <w:t xml:space="preserve">: el gobierno de </w:t>
      </w:r>
      <w:r w:rsidR="00065CC0">
        <w:rPr>
          <w:color w:val="000000" w:themeColor="text1"/>
          <w:sz w:val="24"/>
          <w:szCs w:val="24"/>
        </w:rPr>
        <w:t>Alfonsín</w:t>
      </w:r>
      <w:r w:rsidR="0016222B">
        <w:rPr>
          <w:color w:val="000000" w:themeColor="text1"/>
          <w:sz w:val="24"/>
          <w:szCs w:val="24"/>
        </w:rPr>
        <w:t xml:space="preserve"> (1983/89)</w:t>
      </w:r>
      <w:r w:rsidR="00581729">
        <w:rPr>
          <w:color w:val="000000" w:themeColor="text1"/>
          <w:sz w:val="24"/>
          <w:szCs w:val="24"/>
        </w:rPr>
        <w:t>, en el escenario de la década perdida para América latina y con la herencia de la dictadura cívico-militar,</w:t>
      </w:r>
      <w:r>
        <w:rPr>
          <w:color w:val="000000" w:themeColor="text1"/>
          <w:sz w:val="24"/>
          <w:szCs w:val="24"/>
        </w:rPr>
        <w:t xml:space="preserve"> y el actual gobierno de </w:t>
      </w:r>
      <w:r w:rsidR="00581729">
        <w:rPr>
          <w:color w:val="000000" w:themeColor="text1"/>
          <w:sz w:val="24"/>
          <w:szCs w:val="24"/>
        </w:rPr>
        <w:t xml:space="preserve">Mauricio </w:t>
      </w:r>
      <w:r>
        <w:rPr>
          <w:color w:val="000000" w:themeColor="text1"/>
          <w:sz w:val="24"/>
          <w:szCs w:val="24"/>
        </w:rPr>
        <w:t>Macri</w:t>
      </w:r>
      <w:r w:rsidR="0016222B">
        <w:rPr>
          <w:color w:val="000000" w:themeColor="text1"/>
          <w:sz w:val="24"/>
          <w:szCs w:val="24"/>
        </w:rPr>
        <w:t xml:space="preserve"> (2015/19)</w:t>
      </w:r>
      <w:r>
        <w:rPr>
          <w:color w:val="000000" w:themeColor="text1"/>
          <w:sz w:val="24"/>
          <w:szCs w:val="24"/>
        </w:rPr>
        <w:t xml:space="preserve">. Ambos se caracterizan, por lo tanto, por combinar un proceso de crecimiento de la deuda externa pública </w:t>
      </w:r>
      <w:r w:rsidR="0016222B">
        <w:rPr>
          <w:color w:val="000000" w:themeColor="text1"/>
          <w:sz w:val="24"/>
          <w:szCs w:val="24"/>
        </w:rPr>
        <w:t>en forma combinada con</w:t>
      </w:r>
      <w:r>
        <w:rPr>
          <w:color w:val="000000" w:themeColor="text1"/>
          <w:sz w:val="24"/>
          <w:szCs w:val="24"/>
        </w:rPr>
        <w:t xml:space="preserve"> una caída del PBI. </w:t>
      </w:r>
      <w:r w:rsidR="00A53194">
        <w:rPr>
          <w:color w:val="000000" w:themeColor="text1"/>
          <w:sz w:val="24"/>
          <w:szCs w:val="24"/>
        </w:rPr>
        <w:t xml:space="preserve">En el caso de Alfonsín, </w:t>
      </w:r>
      <w:r w:rsidR="0016222B">
        <w:rPr>
          <w:color w:val="000000" w:themeColor="text1"/>
          <w:sz w:val="24"/>
          <w:szCs w:val="24"/>
        </w:rPr>
        <w:t xml:space="preserve">sin embargo, </w:t>
      </w:r>
      <w:r w:rsidR="00A53194">
        <w:rPr>
          <w:color w:val="000000" w:themeColor="text1"/>
          <w:sz w:val="24"/>
          <w:szCs w:val="24"/>
        </w:rPr>
        <w:t xml:space="preserve">la Deuda Externa Pública creció </w:t>
      </w:r>
      <w:r w:rsidR="00581729">
        <w:rPr>
          <w:color w:val="000000" w:themeColor="text1"/>
          <w:sz w:val="24"/>
          <w:szCs w:val="24"/>
        </w:rPr>
        <w:t>por acumulación de intereses</w:t>
      </w:r>
      <w:r w:rsidR="0016222B">
        <w:rPr>
          <w:color w:val="000000" w:themeColor="text1"/>
          <w:sz w:val="24"/>
          <w:szCs w:val="24"/>
        </w:rPr>
        <w:t xml:space="preserve">, no por ingreso neto de recursos. </w:t>
      </w:r>
      <w:r w:rsidR="00A53194">
        <w:rPr>
          <w:color w:val="000000" w:themeColor="text1"/>
          <w:sz w:val="24"/>
          <w:szCs w:val="24"/>
        </w:rPr>
        <w:t xml:space="preserve">En cambio, durante la gestión macrista, a </w:t>
      </w:r>
      <w:bookmarkStart w:id="0" w:name="_GoBack"/>
      <w:bookmarkEnd w:id="0"/>
      <w:r w:rsidR="00A53194">
        <w:rPr>
          <w:color w:val="000000" w:themeColor="text1"/>
          <w:sz w:val="24"/>
          <w:szCs w:val="24"/>
        </w:rPr>
        <w:lastRenderedPageBreak/>
        <w:t>pesar de haber aumentado 25% por año la deuda externa</w:t>
      </w:r>
      <w:r w:rsidR="00581729">
        <w:rPr>
          <w:color w:val="000000" w:themeColor="text1"/>
          <w:sz w:val="24"/>
          <w:szCs w:val="24"/>
        </w:rPr>
        <w:t xml:space="preserve">, con ingreso </w:t>
      </w:r>
      <w:r w:rsidR="0016222B">
        <w:rPr>
          <w:color w:val="000000" w:themeColor="text1"/>
          <w:sz w:val="24"/>
          <w:szCs w:val="24"/>
        </w:rPr>
        <w:t xml:space="preserve">neto </w:t>
      </w:r>
      <w:r w:rsidR="00581729">
        <w:rPr>
          <w:color w:val="000000" w:themeColor="text1"/>
          <w:sz w:val="24"/>
          <w:szCs w:val="24"/>
        </w:rPr>
        <w:t>de recursos, el producto cae</w:t>
      </w:r>
      <w:r w:rsidR="00A53194">
        <w:rPr>
          <w:color w:val="000000" w:themeColor="text1"/>
          <w:sz w:val="24"/>
          <w:szCs w:val="24"/>
        </w:rPr>
        <w:t xml:space="preserve"> -0,9% por cada año de gestión</w:t>
      </w:r>
      <w:r w:rsidR="00581729">
        <w:rPr>
          <w:color w:val="000000" w:themeColor="text1"/>
          <w:sz w:val="24"/>
          <w:szCs w:val="24"/>
        </w:rPr>
        <w:t xml:space="preserve"> (tomando la proyección del FMI/enero 2019)</w:t>
      </w:r>
      <w:r w:rsidR="00A53194">
        <w:rPr>
          <w:color w:val="000000" w:themeColor="text1"/>
          <w:sz w:val="24"/>
          <w:szCs w:val="24"/>
        </w:rPr>
        <w:t>.</w:t>
      </w:r>
    </w:p>
    <w:p w:rsidR="00391D56" w:rsidRPr="00065CC0" w:rsidRDefault="001E5200" w:rsidP="001E5200">
      <w:pPr>
        <w:jc w:val="both"/>
        <w:rPr>
          <w:sz w:val="24"/>
        </w:rPr>
      </w:pPr>
      <w:r w:rsidRPr="00065CC0">
        <w:rPr>
          <w:sz w:val="24"/>
        </w:rPr>
        <w:t xml:space="preserve">Si bien el planteo anterior no agota las comparaciones con otras experiencias históricas, y es necesario profundizar en los contextos </w:t>
      </w:r>
      <w:r w:rsidR="00391D56" w:rsidRPr="00065CC0">
        <w:rPr>
          <w:sz w:val="24"/>
        </w:rPr>
        <w:t>a</w:t>
      </w:r>
      <w:r w:rsidRPr="00065CC0">
        <w:rPr>
          <w:sz w:val="24"/>
        </w:rPr>
        <w:t xml:space="preserve"> cada </w:t>
      </w:r>
      <w:r w:rsidR="00281931">
        <w:rPr>
          <w:sz w:val="24"/>
        </w:rPr>
        <w:t>una</w:t>
      </w:r>
      <w:r w:rsidR="00065CC0">
        <w:rPr>
          <w:sz w:val="24"/>
        </w:rPr>
        <w:t>, lo cual excede las intenciones y dimensiones del presente informe</w:t>
      </w:r>
      <w:r w:rsidRPr="00065CC0">
        <w:rPr>
          <w:sz w:val="24"/>
        </w:rPr>
        <w:t xml:space="preserve">, </w:t>
      </w:r>
      <w:r w:rsidR="00391D56" w:rsidRPr="00065CC0">
        <w:rPr>
          <w:sz w:val="24"/>
        </w:rPr>
        <w:t xml:space="preserve">el mismo </w:t>
      </w:r>
      <w:r w:rsidRPr="00065CC0">
        <w:rPr>
          <w:sz w:val="24"/>
        </w:rPr>
        <w:t>permite ubicar la actual situación económica y su desempeño en términos históricos</w:t>
      </w:r>
      <w:r w:rsidR="005F4E4B">
        <w:rPr>
          <w:sz w:val="24"/>
        </w:rPr>
        <w:t xml:space="preserve"> en dos variables clave</w:t>
      </w:r>
      <w:r w:rsidRPr="00065CC0">
        <w:rPr>
          <w:sz w:val="24"/>
        </w:rPr>
        <w:t xml:space="preserve">. </w:t>
      </w:r>
      <w:r w:rsidR="009E4729">
        <w:rPr>
          <w:sz w:val="24"/>
        </w:rPr>
        <w:t>Se aprecia que la</w:t>
      </w:r>
      <w:r w:rsidR="00391D56" w:rsidRPr="00065CC0">
        <w:rPr>
          <w:sz w:val="24"/>
        </w:rPr>
        <w:t xml:space="preserve"> situación actual se ha caracterizado por un proceso de endeudamiento</w:t>
      </w:r>
      <w:r w:rsidR="009E4729">
        <w:rPr>
          <w:sz w:val="24"/>
        </w:rPr>
        <w:t xml:space="preserve"> que </w:t>
      </w:r>
      <w:r w:rsidR="00391D56" w:rsidRPr="00065CC0">
        <w:rPr>
          <w:sz w:val="24"/>
        </w:rPr>
        <w:t>permitió financiar, por un lado, el abultado déficit comercial que caracterizó a la economía en este período, así como la cuantiosa fuga de capitales al exterior, como se ha dado cuenta en informes anteriores del CIEFCE</w:t>
      </w:r>
      <w:r w:rsidR="009E4729">
        <w:rPr>
          <w:sz w:val="24"/>
        </w:rPr>
        <w:t xml:space="preserve"> y expresa el BCRA (Formación de Activos Externos)</w:t>
      </w:r>
      <w:r w:rsidR="00391D56" w:rsidRPr="00065CC0">
        <w:rPr>
          <w:sz w:val="24"/>
        </w:rPr>
        <w:t xml:space="preserve">. </w:t>
      </w:r>
      <w:r w:rsidR="00986A28" w:rsidRPr="00065CC0">
        <w:rPr>
          <w:sz w:val="24"/>
        </w:rPr>
        <w:t>Aun</w:t>
      </w:r>
      <w:r w:rsidR="00234FB7" w:rsidRPr="00065CC0">
        <w:rPr>
          <w:sz w:val="24"/>
        </w:rPr>
        <w:t xml:space="preserve"> así, las </w:t>
      </w:r>
      <w:r w:rsidR="00986A28" w:rsidRPr="00065CC0">
        <w:rPr>
          <w:sz w:val="24"/>
        </w:rPr>
        <w:t xml:space="preserve">distintas devaluaciones a lo largo de los últimos años, </w:t>
      </w:r>
      <w:r w:rsidR="00065CC0">
        <w:rPr>
          <w:sz w:val="24"/>
        </w:rPr>
        <w:t>en conjunto con</w:t>
      </w:r>
      <w:r w:rsidR="00986A28" w:rsidRPr="00065CC0">
        <w:rPr>
          <w:sz w:val="24"/>
        </w:rPr>
        <w:t xml:space="preserve"> el ajuste fiscal y las altas tasas de interés, han implicado la importante contracción económica mencionada.</w:t>
      </w:r>
    </w:p>
    <w:p w:rsidR="00CB46F3" w:rsidRDefault="00D35231" w:rsidP="001E5200">
      <w:pPr>
        <w:jc w:val="both"/>
        <w:rPr>
          <w:sz w:val="24"/>
        </w:rPr>
      </w:pPr>
      <w:r>
        <w:rPr>
          <w:sz w:val="24"/>
        </w:rPr>
        <w:t xml:space="preserve">Por último, como bien se menciona en el informe anterior, el escenario presentado no se acaba aquí, ya que la magnitud de los vencimientos de la deuda pública externa de los próximos años pone otro grado más de preocupación. Se hará necesario un mayor </w:t>
      </w:r>
      <w:r w:rsidR="0062024A">
        <w:rPr>
          <w:sz w:val="24"/>
        </w:rPr>
        <w:t>nivel</w:t>
      </w:r>
      <w:r>
        <w:rPr>
          <w:sz w:val="24"/>
        </w:rPr>
        <w:t xml:space="preserve"> de ajuste externo para poder hacer frente a los vencimientos de intereses y deuda, lo cual implica la profundización de la caída de la actividad económica y/o el aumento de la deuda pública externa vía renegociaciones de pagos y vencimientos.</w:t>
      </w:r>
    </w:p>
    <w:p w:rsidR="00F24A76" w:rsidRPr="00445100" w:rsidRDefault="00B4657A" w:rsidP="00445100">
      <w:pPr>
        <w:jc w:val="center"/>
        <w:rPr>
          <w:i/>
          <w:sz w:val="24"/>
        </w:rPr>
      </w:pPr>
      <w:r>
        <w:rPr>
          <w:i/>
          <w:sz w:val="24"/>
        </w:rPr>
        <w:t>Gráfico2</w:t>
      </w:r>
      <w:r w:rsidR="00F24A76" w:rsidRPr="00445100">
        <w:rPr>
          <w:i/>
          <w:sz w:val="24"/>
        </w:rPr>
        <w:t>:</w:t>
      </w:r>
      <w:r w:rsidR="00445100" w:rsidRPr="00445100">
        <w:rPr>
          <w:i/>
          <w:sz w:val="24"/>
        </w:rPr>
        <w:t xml:space="preserve"> Evolución del PBI real y Deuda Pública Externa, índice 1916=100</w:t>
      </w:r>
    </w:p>
    <w:p w:rsidR="00F24A76" w:rsidRDefault="00445100" w:rsidP="001E5200">
      <w:pPr>
        <w:jc w:val="both"/>
        <w:rPr>
          <w:sz w:val="24"/>
        </w:rPr>
      </w:pPr>
      <w:r>
        <w:rPr>
          <w:noProof/>
          <w:lang w:val="es-MX" w:eastAsia="es-MX"/>
        </w:rPr>
        <w:drawing>
          <wp:inline distT="0" distB="0" distL="0" distR="0">
            <wp:extent cx="5400040" cy="2637155"/>
            <wp:effectExtent l="0" t="0" r="0" b="0"/>
            <wp:docPr id="5" name="Gráfico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EC9993E-FCDE-4E69-8C40-03FA8A7B8E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45100" w:rsidRPr="00A726BF" w:rsidRDefault="00445100" w:rsidP="00445100">
      <w:pPr>
        <w:spacing w:after="0"/>
        <w:rPr>
          <w:i/>
          <w:sz w:val="20"/>
        </w:rPr>
      </w:pPr>
      <w:r w:rsidRPr="00A726BF">
        <w:rPr>
          <w:i/>
          <w:sz w:val="20"/>
        </w:rPr>
        <w:t>Fuente: elaboración propia en base a datos INDEC</w:t>
      </w:r>
      <w:r>
        <w:rPr>
          <w:i/>
          <w:sz w:val="20"/>
        </w:rPr>
        <w:t>, MECON y</w:t>
      </w:r>
      <w:r w:rsidRPr="00A726BF">
        <w:rPr>
          <w:i/>
          <w:sz w:val="20"/>
        </w:rPr>
        <w:t xml:space="preserve"> Fundación Norte y Sur</w:t>
      </w:r>
    </w:p>
    <w:p w:rsidR="00D35231" w:rsidRDefault="00D35231" w:rsidP="001E5200">
      <w:pPr>
        <w:jc w:val="both"/>
        <w:rPr>
          <w:sz w:val="24"/>
        </w:rPr>
      </w:pPr>
    </w:p>
    <w:p w:rsidR="009E4729" w:rsidRDefault="009E4729" w:rsidP="001E5200">
      <w:pPr>
        <w:jc w:val="both"/>
        <w:rPr>
          <w:sz w:val="24"/>
        </w:rPr>
      </w:pPr>
    </w:p>
    <w:p w:rsidR="001B7CC0" w:rsidRPr="00D8511D" w:rsidRDefault="001B7CC0" w:rsidP="001B7CC0">
      <w:pPr>
        <w:spacing w:before="100" w:beforeAutospacing="1" w:after="100" w:afterAutospacing="1"/>
        <w:jc w:val="both"/>
        <w:rPr>
          <w:color w:val="000000" w:themeColor="text1"/>
          <w:sz w:val="24"/>
          <w:szCs w:val="24"/>
          <w:u w:val="single"/>
        </w:rPr>
      </w:pPr>
      <w:r w:rsidRPr="00D8511D">
        <w:rPr>
          <w:color w:val="000000" w:themeColor="text1"/>
          <w:sz w:val="24"/>
          <w:szCs w:val="24"/>
          <w:u w:val="single"/>
        </w:rPr>
        <w:lastRenderedPageBreak/>
        <w:t>Fuentes consultadas</w:t>
      </w:r>
    </w:p>
    <w:p w:rsidR="001B7CC0" w:rsidRDefault="001B7CC0" w:rsidP="001B7CC0">
      <w:pPr>
        <w:spacing w:after="0"/>
        <w:jc w:val="both"/>
        <w:rPr>
          <w:color w:val="000000" w:themeColor="text1"/>
          <w:sz w:val="24"/>
          <w:szCs w:val="24"/>
        </w:rPr>
      </w:pPr>
      <w:r>
        <w:rPr>
          <w:color w:val="000000" w:themeColor="text1"/>
          <w:sz w:val="24"/>
          <w:szCs w:val="24"/>
        </w:rPr>
        <w:t>Instituto Nacional de Estadísticas y Censos</w:t>
      </w:r>
    </w:p>
    <w:p w:rsidR="001B7CC0" w:rsidRDefault="001B7CC0" w:rsidP="001B7CC0">
      <w:pPr>
        <w:spacing w:after="0"/>
        <w:jc w:val="both"/>
        <w:rPr>
          <w:color w:val="000000" w:themeColor="text1"/>
          <w:sz w:val="24"/>
          <w:szCs w:val="24"/>
        </w:rPr>
      </w:pPr>
      <w:r>
        <w:rPr>
          <w:color w:val="000000" w:themeColor="text1"/>
          <w:sz w:val="24"/>
          <w:szCs w:val="24"/>
        </w:rPr>
        <w:t>Ministerio de Hacienda (</w:t>
      </w:r>
      <w:r w:rsidRPr="002B1B31">
        <w:rPr>
          <w:color w:val="000000" w:themeColor="text1"/>
          <w:sz w:val="24"/>
          <w:szCs w:val="24"/>
        </w:rPr>
        <w:t>Portal de Datos Económicos</w:t>
      </w:r>
      <w:r>
        <w:rPr>
          <w:color w:val="000000" w:themeColor="text1"/>
          <w:sz w:val="24"/>
          <w:szCs w:val="24"/>
        </w:rPr>
        <w:t>)</w:t>
      </w:r>
    </w:p>
    <w:p w:rsidR="001B7CC0" w:rsidRPr="007933AE" w:rsidRDefault="001B7CC0" w:rsidP="001B7CC0">
      <w:pPr>
        <w:spacing w:after="0"/>
        <w:jc w:val="both"/>
        <w:rPr>
          <w:color w:val="000000" w:themeColor="text1"/>
          <w:sz w:val="24"/>
          <w:szCs w:val="24"/>
        </w:rPr>
      </w:pPr>
      <w:r>
        <w:rPr>
          <w:color w:val="000000" w:themeColor="text1"/>
          <w:sz w:val="24"/>
          <w:szCs w:val="24"/>
        </w:rPr>
        <w:t>Banco Central de la República Argentina</w:t>
      </w:r>
    </w:p>
    <w:p w:rsidR="001B7CC0" w:rsidRDefault="001B7CC0" w:rsidP="001B7CC0">
      <w:pPr>
        <w:spacing w:after="0"/>
        <w:jc w:val="both"/>
        <w:rPr>
          <w:sz w:val="24"/>
          <w:szCs w:val="24"/>
        </w:rPr>
      </w:pPr>
      <w:r w:rsidRPr="0062024A">
        <w:rPr>
          <w:sz w:val="24"/>
          <w:szCs w:val="24"/>
        </w:rPr>
        <w:t xml:space="preserve">Ferreres, Orlando (2005). </w:t>
      </w:r>
      <w:r w:rsidRPr="001F3845">
        <w:rPr>
          <w:i/>
          <w:sz w:val="24"/>
          <w:szCs w:val="24"/>
        </w:rPr>
        <w:t>Dos Siglos de Economía Argentina (1810-2004)</w:t>
      </w:r>
      <w:r w:rsidRPr="001F3845">
        <w:rPr>
          <w:sz w:val="24"/>
          <w:szCs w:val="24"/>
        </w:rPr>
        <w:t>. Buenos Aires, El Ateneo</w:t>
      </w:r>
    </w:p>
    <w:p w:rsidR="001B7CC0" w:rsidRDefault="001B7CC0" w:rsidP="001B7CC0">
      <w:pPr>
        <w:spacing w:after="0"/>
        <w:jc w:val="both"/>
        <w:rPr>
          <w:color w:val="000000" w:themeColor="text1"/>
          <w:sz w:val="24"/>
          <w:szCs w:val="24"/>
        </w:rPr>
      </w:pPr>
      <w:r>
        <w:rPr>
          <w:sz w:val="24"/>
          <w:szCs w:val="24"/>
        </w:rPr>
        <w:t xml:space="preserve">Informe CIEFCE N° 20: </w:t>
      </w:r>
      <w:r>
        <w:rPr>
          <w:color w:val="000000" w:themeColor="text1"/>
          <w:sz w:val="24"/>
          <w:szCs w:val="24"/>
        </w:rPr>
        <w:t>la coyuntura nacional</w:t>
      </w:r>
    </w:p>
    <w:p w:rsidR="001B7CC0" w:rsidRPr="001F3845" w:rsidRDefault="001B7CC0" w:rsidP="001B7CC0">
      <w:pPr>
        <w:spacing w:after="0"/>
        <w:jc w:val="both"/>
        <w:rPr>
          <w:color w:val="000000" w:themeColor="text1"/>
          <w:sz w:val="24"/>
          <w:szCs w:val="24"/>
        </w:rPr>
      </w:pPr>
      <w:r>
        <w:rPr>
          <w:color w:val="000000" w:themeColor="text1"/>
          <w:sz w:val="24"/>
          <w:szCs w:val="24"/>
        </w:rPr>
        <w:t xml:space="preserve">Informe CIEFCE N° 13: </w:t>
      </w:r>
      <w:r>
        <w:rPr>
          <w:sz w:val="24"/>
          <w:szCs w:val="24"/>
        </w:rPr>
        <w:t>Problemas en el frente externo</w:t>
      </w:r>
    </w:p>
    <w:p w:rsidR="001B7CC0" w:rsidRDefault="001B7CC0" w:rsidP="001B7CC0">
      <w:pPr>
        <w:jc w:val="both"/>
        <w:rPr>
          <w:sz w:val="24"/>
        </w:rPr>
      </w:pPr>
    </w:p>
    <w:p w:rsidR="00D71DE1" w:rsidRPr="00065CC0" w:rsidRDefault="00D71DE1" w:rsidP="001E5200">
      <w:pPr>
        <w:jc w:val="both"/>
        <w:rPr>
          <w:sz w:val="24"/>
        </w:rPr>
      </w:pPr>
    </w:p>
    <w:sectPr w:rsidR="00D71DE1" w:rsidRPr="00065CC0" w:rsidSect="004277A4">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668" w:rsidRDefault="00770668" w:rsidP="0071644E">
      <w:pPr>
        <w:spacing w:after="0" w:line="240" w:lineRule="auto"/>
      </w:pPr>
      <w:r>
        <w:separator/>
      </w:r>
    </w:p>
  </w:endnote>
  <w:endnote w:type="continuationSeparator" w:id="1">
    <w:p w:rsidR="00770668" w:rsidRDefault="00770668" w:rsidP="00716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668" w:rsidRDefault="00770668" w:rsidP="0071644E">
      <w:pPr>
        <w:spacing w:after="0" w:line="240" w:lineRule="auto"/>
      </w:pPr>
      <w:r>
        <w:separator/>
      </w:r>
    </w:p>
  </w:footnote>
  <w:footnote w:type="continuationSeparator" w:id="1">
    <w:p w:rsidR="00770668" w:rsidRDefault="00770668" w:rsidP="007164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96" w:rsidRDefault="000D0096" w:rsidP="0071644E">
    <w:pPr>
      <w:pStyle w:val="Encabezado"/>
    </w:pPr>
    <w:r>
      <w:rPr>
        <w:noProof/>
        <w:lang w:val="es-MX" w:eastAsia="es-MX"/>
      </w:rPr>
      <w:drawing>
        <wp:inline distT="0" distB="0" distL="0" distR="0">
          <wp:extent cx="1466850" cy="4095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409575"/>
                  </a:xfrm>
                  <a:prstGeom prst="rect">
                    <a:avLst/>
                  </a:prstGeom>
                  <a:noFill/>
                  <a:ln>
                    <a:noFill/>
                  </a:ln>
                </pic:spPr>
              </pic:pic>
            </a:graphicData>
          </a:graphic>
        </wp:inline>
      </w:drawing>
    </w:r>
    <w:r>
      <w:rPr>
        <w:noProof/>
        <w:lang w:eastAsia="es-AR"/>
      </w:rPr>
      <w:tab/>
    </w:r>
    <w:r>
      <w:rPr>
        <w:noProof/>
        <w:lang w:val="es-MX" w:eastAsia="es-MX"/>
      </w:rPr>
      <w:drawing>
        <wp:inline distT="0" distB="0" distL="0" distR="0">
          <wp:extent cx="2343150" cy="2476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3150" cy="247650"/>
                  </a:xfrm>
                  <a:prstGeom prst="rect">
                    <a:avLst/>
                  </a:prstGeom>
                  <a:noFill/>
                  <a:ln>
                    <a:noFill/>
                  </a:ln>
                </pic:spPr>
              </pic:pic>
            </a:graphicData>
          </a:graphic>
        </wp:inline>
      </w:drawing>
    </w:r>
  </w:p>
  <w:p w:rsidR="000D0096" w:rsidRDefault="000D009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1644E"/>
    <w:rsid w:val="000001AA"/>
    <w:rsid w:val="000341AA"/>
    <w:rsid w:val="00047E46"/>
    <w:rsid w:val="00060EBA"/>
    <w:rsid w:val="00061FDE"/>
    <w:rsid w:val="00065CC0"/>
    <w:rsid w:val="000A0136"/>
    <w:rsid w:val="000D0096"/>
    <w:rsid w:val="000F7EFB"/>
    <w:rsid w:val="001432FB"/>
    <w:rsid w:val="0015627A"/>
    <w:rsid w:val="0016222B"/>
    <w:rsid w:val="001B7CC0"/>
    <w:rsid w:val="001C1CCD"/>
    <w:rsid w:val="001E5200"/>
    <w:rsid w:val="00214A10"/>
    <w:rsid w:val="00234FB7"/>
    <w:rsid w:val="002425AE"/>
    <w:rsid w:val="00281931"/>
    <w:rsid w:val="002D3628"/>
    <w:rsid w:val="002E5E46"/>
    <w:rsid w:val="00327C0D"/>
    <w:rsid w:val="00365398"/>
    <w:rsid w:val="00391D56"/>
    <w:rsid w:val="00400044"/>
    <w:rsid w:val="00400D4A"/>
    <w:rsid w:val="00407804"/>
    <w:rsid w:val="00412512"/>
    <w:rsid w:val="0041648B"/>
    <w:rsid w:val="004277A4"/>
    <w:rsid w:val="00445100"/>
    <w:rsid w:val="005079F0"/>
    <w:rsid w:val="00581729"/>
    <w:rsid w:val="00592135"/>
    <w:rsid w:val="005B0567"/>
    <w:rsid w:val="005C4A9F"/>
    <w:rsid w:val="005F4E4B"/>
    <w:rsid w:val="0062024A"/>
    <w:rsid w:val="00647365"/>
    <w:rsid w:val="006608C7"/>
    <w:rsid w:val="0067094C"/>
    <w:rsid w:val="00685534"/>
    <w:rsid w:val="0068656E"/>
    <w:rsid w:val="00696B85"/>
    <w:rsid w:val="006A5F82"/>
    <w:rsid w:val="0071644E"/>
    <w:rsid w:val="00754E16"/>
    <w:rsid w:val="00770668"/>
    <w:rsid w:val="007756A2"/>
    <w:rsid w:val="00794E19"/>
    <w:rsid w:val="007C1C89"/>
    <w:rsid w:val="007E56AA"/>
    <w:rsid w:val="0083364A"/>
    <w:rsid w:val="00873E03"/>
    <w:rsid w:val="0087413E"/>
    <w:rsid w:val="00882E86"/>
    <w:rsid w:val="008949B5"/>
    <w:rsid w:val="00894B6B"/>
    <w:rsid w:val="0092372F"/>
    <w:rsid w:val="00932755"/>
    <w:rsid w:val="009470A1"/>
    <w:rsid w:val="009545D7"/>
    <w:rsid w:val="009577CF"/>
    <w:rsid w:val="0096245E"/>
    <w:rsid w:val="00986A28"/>
    <w:rsid w:val="009E4729"/>
    <w:rsid w:val="009F645B"/>
    <w:rsid w:val="00A30DAD"/>
    <w:rsid w:val="00A355D5"/>
    <w:rsid w:val="00A35660"/>
    <w:rsid w:val="00A53194"/>
    <w:rsid w:val="00A726BF"/>
    <w:rsid w:val="00AA2947"/>
    <w:rsid w:val="00B05DDA"/>
    <w:rsid w:val="00B20CAD"/>
    <w:rsid w:val="00B4657A"/>
    <w:rsid w:val="00B84796"/>
    <w:rsid w:val="00B87B74"/>
    <w:rsid w:val="00BE7936"/>
    <w:rsid w:val="00C01FEF"/>
    <w:rsid w:val="00C95C0D"/>
    <w:rsid w:val="00CB46F3"/>
    <w:rsid w:val="00CD4E8D"/>
    <w:rsid w:val="00D03444"/>
    <w:rsid w:val="00D321DF"/>
    <w:rsid w:val="00D35231"/>
    <w:rsid w:val="00D71DE1"/>
    <w:rsid w:val="00D8511D"/>
    <w:rsid w:val="00DA2284"/>
    <w:rsid w:val="00DE4001"/>
    <w:rsid w:val="00DE6A5C"/>
    <w:rsid w:val="00DF31E7"/>
    <w:rsid w:val="00DF5D2E"/>
    <w:rsid w:val="00DF7D7C"/>
    <w:rsid w:val="00E11903"/>
    <w:rsid w:val="00E275A6"/>
    <w:rsid w:val="00E9522F"/>
    <w:rsid w:val="00E97DFE"/>
    <w:rsid w:val="00F24A76"/>
    <w:rsid w:val="00F448CE"/>
    <w:rsid w:val="00F968A3"/>
    <w:rsid w:val="00FA618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4E"/>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644E"/>
    <w:pPr>
      <w:spacing w:after="0" w:line="240" w:lineRule="auto"/>
    </w:pPr>
    <w:rPr>
      <w:rFonts w:ascii="Segoe UI" w:eastAsiaTheme="minorHAnsi" w:hAnsi="Segoe UI" w:cs="Segoe UI"/>
      <w:sz w:val="18"/>
      <w:szCs w:val="18"/>
      <w:lang w:val="es-AR" w:eastAsia="en-US"/>
    </w:rPr>
  </w:style>
  <w:style w:type="character" w:customStyle="1" w:styleId="TextodegloboCar">
    <w:name w:val="Texto de globo Car"/>
    <w:basedOn w:val="Fuentedeprrafopredeter"/>
    <w:link w:val="Textodeglobo"/>
    <w:uiPriority w:val="99"/>
    <w:semiHidden/>
    <w:rsid w:val="0071644E"/>
    <w:rPr>
      <w:rFonts w:ascii="Segoe UI" w:hAnsi="Segoe UI" w:cs="Segoe UI"/>
      <w:sz w:val="18"/>
      <w:szCs w:val="18"/>
    </w:rPr>
  </w:style>
  <w:style w:type="paragraph" w:styleId="Encabezado">
    <w:name w:val="header"/>
    <w:basedOn w:val="Normal"/>
    <w:link w:val="EncabezadoCar"/>
    <w:uiPriority w:val="99"/>
    <w:unhideWhenUsed/>
    <w:rsid w:val="0071644E"/>
    <w:pPr>
      <w:tabs>
        <w:tab w:val="center" w:pos="4252"/>
        <w:tab w:val="right" w:pos="8504"/>
      </w:tabs>
      <w:spacing w:after="0" w:line="240" w:lineRule="auto"/>
    </w:pPr>
    <w:rPr>
      <w:rFonts w:eastAsiaTheme="minorHAnsi"/>
      <w:lang w:val="es-AR" w:eastAsia="en-US"/>
    </w:rPr>
  </w:style>
  <w:style w:type="character" w:customStyle="1" w:styleId="EncabezadoCar">
    <w:name w:val="Encabezado Car"/>
    <w:basedOn w:val="Fuentedeprrafopredeter"/>
    <w:link w:val="Encabezado"/>
    <w:uiPriority w:val="99"/>
    <w:rsid w:val="0071644E"/>
  </w:style>
  <w:style w:type="paragraph" w:styleId="Piedepgina">
    <w:name w:val="footer"/>
    <w:basedOn w:val="Normal"/>
    <w:link w:val="PiedepginaCar"/>
    <w:uiPriority w:val="99"/>
    <w:unhideWhenUsed/>
    <w:rsid w:val="0071644E"/>
    <w:pPr>
      <w:tabs>
        <w:tab w:val="center" w:pos="4252"/>
        <w:tab w:val="right" w:pos="8504"/>
      </w:tabs>
      <w:spacing w:after="0" w:line="240" w:lineRule="auto"/>
    </w:pPr>
    <w:rPr>
      <w:rFonts w:eastAsiaTheme="minorHAnsi"/>
      <w:lang w:val="es-AR" w:eastAsia="en-US"/>
    </w:rPr>
  </w:style>
  <w:style w:type="character" w:customStyle="1" w:styleId="PiedepginaCar">
    <w:name w:val="Pie de página Car"/>
    <w:basedOn w:val="Fuentedeprrafopredeter"/>
    <w:link w:val="Piedepgina"/>
    <w:uiPriority w:val="99"/>
    <w:rsid w:val="0071644E"/>
  </w:style>
  <w:style w:type="paragraph" w:styleId="Epgrafe">
    <w:name w:val="caption"/>
    <w:basedOn w:val="Normal"/>
    <w:next w:val="Normal"/>
    <w:uiPriority w:val="35"/>
    <w:semiHidden/>
    <w:unhideWhenUsed/>
    <w:qFormat/>
    <w:rsid w:val="007E56AA"/>
    <w:pPr>
      <w:spacing w:line="240" w:lineRule="auto"/>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Gabriel\Documents\secretaria%20de%20investigaci&#243;n\CIEFCE\crecimiento\deuda%20externa%20y%20crecimient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abriel\Documents\secretaria%20de%20investigaci&#243;n\CIEFCE\crecimiento\deuda%20externa%20p&#250;bli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scatterChart>
        <c:scatterStyle val="lineMarker"/>
        <c:ser>
          <c:idx val="0"/>
          <c:order val="0"/>
          <c:tx>
            <c:strRef>
              <c:f>Hoja1!$A$2</c:f>
              <c:strCache>
                <c:ptCount val="1"/>
                <c:pt idx="0">
                  <c:v>Yrigoyen-Luna</c:v>
                </c:pt>
              </c:strCache>
            </c:strRef>
          </c:tx>
          <c:spPr>
            <a:ln w="19050" cap="rnd">
              <a:noFill/>
              <a:round/>
            </a:ln>
            <a:effectLst/>
          </c:spPr>
          <c:marker>
            <c:symbol val="circle"/>
            <c:size val="5"/>
            <c:spPr>
              <a:solidFill>
                <a:schemeClr val="accent1"/>
              </a:solidFill>
              <a:ln w="9525">
                <a:solidFill>
                  <a:schemeClr val="accent1"/>
                </a:solidFill>
              </a:ln>
              <a:effectLst/>
            </c:spPr>
          </c:marker>
          <c:dLbls>
            <c:dLbl>
              <c:idx val="0"/>
              <c:layout>
                <c:manualLayout>
                  <c:x val="-7.4820108832233251E-2"/>
                  <c:y val="4.1014844627072861E-2"/>
                </c:manualLayout>
              </c:layout>
              <c:dLblPos val="r"/>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D48-4D4F-9713-CFCCCA5EBA4D}"/>
                </c:ext>
              </c:extLst>
            </c:dLbl>
            <c:spPr>
              <a:noFill/>
              <a:ln>
                <a:noFill/>
              </a:ln>
              <a:effectLst/>
            </c:spPr>
            <c:txPr>
              <a:bodyPr rot="0" spcFirstLastPara="1" vertOverflow="ellipsis" vert="horz" wrap="square" anchor="ctr" anchorCtr="1"/>
              <a:lstStyle/>
              <a:p>
                <a:pPr>
                  <a:defRPr lang="es-ES" sz="900" b="1" i="0" u="none" strike="noStrike" kern="1200" baseline="0">
                    <a:solidFill>
                      <a:schemeClr val="tx1">
                        <a:lumMod val="75000"/>
                        <a:lumOff val="25000"/>
                      </a:schemeClr>
                    </a:solidFill>
                    <a:latin typeface="+mn-lt"/>
                    <a:ea typeface="+mn-ea"/>
                    <a:cs typeface="+mn-cs"/>
                  </a:defRPr>
                </a:pPr>
                <a:endParaRPr lang="es-MX"/>
              </a:p>
            </c:txPr>
            <c:dLblPos val="t"/>
            <c:showSerName val="1"/>
            <c:extLst xmlns:c16r2="http://schemas.microsoft.com/office/drawing/2015/06/chart">
              <c:ext xmlns:c15="http://schemas.microsoft.com/office/drawing/2012/chart" uri="{CE6537A1-D6FC-4f65-9D91-7224C49458BB}">
                <c15:showLeaderLines val="0"/>
              </c:ext>
            </c:extLst>
          </c:dLbls>
          <c:xVal>
            <c:numRef>
              <c:f>Hoja1!$F$2</c:f>
              <c:numCache>
                <c:formatCode>0.0</c:formatCode>
                <c:ptCount val="1"/>
                <c:pt idx="0">
                  <c:v>5.3</c:v>
                </c:pt>
              </c:numCache>
            </c:numRef>
          </c:xVal>
          <c:yVal>
            <c:numRef>
              <c:f>Hoja1!$G$2</c:f>
              <c:numCache>
                <c:formatCode>0.0</c:formatCode>
                <c:ptCount val="1"/>
                <c:pt idx="0">
                  <c:v>-2.2124265718514344</c:v>
                </c:pt>
              </c:numCache>
            </c:numRef>
          </c:yVal>
          <c:extLst xmlns:c16r2="http://schemas.microsoft.com/office/drawing/2015/06/chart">
            <c:ext xmlns:c16="http://schemas.microsoft.com/office/drawing/2014/chart" uri="{C3380CC4-5D6E-409C-BE32-E72D297353CC}">
              <c16:uniqueId val="{00000001-9D48-4D4F-9713-CFCCCA5EBA4D}"/>
            </c:ext>
          </c:extLst>
        </c:ser>
        <c:ser>
          <c:idx val="1"/>
          <c:order val="1"/>
          <c:tx>
            <c:strRef>
              <c:f>Hoja1!$A$3</c:f>
              <c:strCache>
                <c:ptCount val="1"/>
                <c:pt idx="0">
                  <c:v>Alvear-González</c:v>
                </c:pt>
              </c:strCache>
            </c:strRef>
          </c:tx>
          <c:spPr>
            <a:ln w="25400" cap="rnd">
              <a:no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lang="es-ES" sz="900" b="1" i="0" u="none" strike="noStrike" kern="1200" baseline="0">
                    <a:solidFill>
                      <a:schemeClr val="tx1">
                        <a:lumMod val="75000"/>
                        <a:lumOff val="25000"/>
                      </a:schemeClr>
                    </a:solidFill>
                    <a:latin typeface="+mn-lt"/>
                    <a:ea typeface="+mn-ea"/>
                    <a:cs typeface="+mn-cs"/>
                  </a:defRPr>
                </a:pPr>
                <a:endParaRPr lang="es-MX"/>
              </a:p>
            </c:txPr>
            <c:dLblPos val="t"/>
            <c:showSerName val="1"/>
            <c:extLst xmlns:c16r2="http://schemas.microsoft.com/office/drawing/2015/06/chart">
              <c:ext xmlns:c15="http://schemas.microsoft.com/office/drawing/2012/chart" uri="{CE6537A1-D6FC-4f65-9D91-7224C49458BB}">
                <c15:showLeaderLines val="0"/>
              </c:ext>
            </c:extLst>
          </c:dLbls>
          <c:xVal>
            <c:numRef>
              <c:f>Hoja1!$F$3</c:f>
              <c:numCache>
                <c:formatCode>0.0</c:formatCode>
                <c:ptCount val="1"/>
                <c:pt idx="0">
                  <c:v>6.1</c:v>
                </c:pt>
              </c:numCache>
            </c:numRef>
          </c:xVal>
          <c:yVal>
            <c:numRef>
              <c:f>Hoja1!$G$3</c:f>
              <c:numCache>
                <c:formatCode>0.0</c:formatCode>
                <c:ptCount val="1"/>
                <c:pt idx="0">
                  <c:v>16.033641164088191</c:v>
                </c:pt>
              </c:numCache>
            </c:numRef>
          </c:yVal>
          <c:extLst xmlns:c16r2="http://schemas.microsoft.com/office/drawing/2015/06/chart">
            <c:ext xmlns:c16="http://schemas.microsoft.com/office/drawing/2014/chart" uri="{C3380CC4-5D6E-409C-BE32-E72D297353CC}">
              <c16:uniqueId val="{00000002-9D48-4D4F-9713-CFCCCA5EBA4D}"/>
            </c:ext>
          </c:extLst>
        </c:ser>
        <c:ser>
          <c:idx val="2"/>
          <c:order val="2"/>
          <c:tx>
            <c:strRef>
              <c:f>Hoja1!$A$4</c:f>
              <c:strCache>
                <c:ptCount val="1"/>
                <c:pt idx="0">
                  <c:v>Perón-Quijano</c:v>
                </c:pt>
              </c:strCache>
            </c:strRef>
          </c:tx>
          <c:spPr>
            <a:ln w="25400" cap="rnd">
              <a:no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lang="es-ES" sz="900" b="1" i="0" u="none" strike="noStrike" kern="1200" baseline="0">
                    <a:solidFill>
                      <a:schemeClr val="tx1">
                        <a:lumMod val="75000"/>
                        <a:lumOff val="25000"/>
                      </a:schemeClr>
                    </a:solidFill>
                    <a:latin typeface="+mn-lt"/>
                    <a:ea typeface="+mn-ea"/>
                    <a:cs typeface="+mn-cs"/>
                  </a:defRPr>
                </a:pPr>
                <a:endParaRPr lang="es-MX"/>
              </a:p>
            </c:txPr>
            <c:dLblPos val="t"/>
            <c:showSerName val="1"/>
            <c:extLst xmlns:c16r2="http://schemas.microsoft.com/office/drawing/2015/06/chart">
              <c:ext xmlns:c15="http://schemas.microsoft.com/office/drawing/2012/chart" uri="{CE6537A1-D6FC-4f65-9D91-7224C49458BB}">
                <c15:showLeaderLines val="0"/>
              </c:ext>
            </c:extLst>
          </c:dLbls>
          <c:xVal>
            <c:numRef>
              <c:f>Hoja1!$F$4</c:f>
              <c:numCache>
                <c:formatCode>0.0</c:formatCode>
                <c:ptCount val="1"/>
                <c:pt idx="0">
                  <c:v>4.9000000000000004</c:v>
                </c:pt>
              </c:numCache>
            </c:numRef>
          </c:xVal>
          <c:yVal>
            <c:numRef>
              <c:f>Hoja1!$G$4</c:f>
              <c:numCache>
                <c:formatCode>0.0</c:formatCode>
                <c:ptCount val="1"/>
                <c:pt idx="0">
                  <c:v>-47.927212183198428</c:v>
                </c:pt>
              </c:numCache>
            </c:numRef>
          </c:yVal>
          <c:extLst xmlns:c16r2="http://schemas.microsoft.com/office/drawing/2015/06/chart">
            <c:ext xmlns:c16="http://schemas.microsoft.com/office/drawing/2014/chart" uri="{C3380CC4-5D6E-409C-BE32-E72D297353CC}">
              <c16:uniqueId val="{00000003-9D48-4D4F-9713-CFCCCA5EBA4D}"/>
            </c:ext>
          </c:extLst>
        </c:ser>
        <c:ser>
          <c:idx val="3"/>
          <c:order val="3"/>
          <c:tx>
            <c:strRef>
              <c:f>Hoja1!$A$5</c:f>
              <c:strCache>
                <c:ptCount val="1"/>
                <c:pt idx="0">
                  <c:v>Perón-Teisaire</c:v>
                </c:pt>
              </c:strCache>
            </c:strRef>
          </c:tx>
          <c:spPr>
            <a:ln w="25400" cap="rnd">
              <a:no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anchor="ctr" anchorCtr="1"/>
              <a:lstStyle/>
              <a:p>
                <a:pPr>
                  <a:defRPr lang="es-ES" sz="900" b="1" i="0" u="none" strike="noStrike" kern="1200" baseline="0">
                    <a:solidFill>
                      <a:schemeClr val="tx1">
                        <a:lumMod val="75000"/>
                        <a:lumOff val="25000"/>
                      </a:schemeClr>
                    </a:solidFill>
                    <a:latin typeface="+mn-lt"/>
                    <a:ea typeface="+mn-ea"/>
                    <a:cs typeface="+mn-cs"/>
                  </a:defRPr>
                </a:pPr>
                <a:endParaRPr lang="es-MX"/>
              </a:p>
            </c:txPr>
            <c:dLblPos val="t"/>
            <c:showSerName val="1"/>
            <c:extLst xmlns:c16r2="http://schemas.microsoft.com/office/drawing/2015/06/chart">
              <c:ext xmlns:c15="http://schemas.microsoft.com/office/drawing/2012/chart" uri="{CE6537A1-D6FC-4f65-9D91-7224C49458BB}">
                <c15:showLeaderLines val="0"/>
              </c:ext>
            </c:extLst>
          </c:dLbls>
          <c:xVal>
            <c:numRef>
              <c:f>Hoja1!$F$5</c:f>
              <c:numCache>
                <c:formatCode>0.0</c:formatCode>
                <c:ptCount val="1"/>
                <c:pt idx="0">
                  <c:v>2.9</c:v>
                </c:pt>
              </c:numCache>
            </c:numRef>
          </c:xVal>
          <c:yVal>
            <c:numRef>
              <c:f>Hoja1!$G$5</c:f>
              <c:numCache>
                <c:formatCode>0.0</c:formatCode>
                <c:ptCount val="1"/>
                <c:pt idx="0">
                  <c:v>-25</c:v>
                </c:pt>
              </c:numCache>
            </c:numRef>
          </c:yVal>
          <c:extLst xmlns:c16r2="http://schemas.microsoft.com/office/drawing/2015/06/chart">
            <c:ext xmlns:c16="http://schemas.microsoft.com/office/drawing/2014/chart" uri="{C3380CC4-5D6E-409C-BE32-E72D297353CC}">
              <c16:uniqueId val="{00000004-9D48-4D4F-9713-CFCCCA5EBA4D}"/>
            </c:ext>
          </c:extLst>
        </c:ser>
        <c:ser>
          <c:idx val="4"/>
          <c:order val="4"/>
          <c:tx>
            <c:strRef>
              <c:f>Hoja1!$A$8</c:f>
              <c:strCache>
                <c:ptCount val="1"/>
                <c:pt idx="0">
                  <c:v>Alfonsín-Martínez</c:v>
                </c:pt>
              </c:strCache>
            </c:strRef>
          </c:tx>
          <c:spPr>
            <a:ln w="25400" cap="rnd">
              <a:no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anchor="ctr" anchorCtr="1"/>
              <a:lstStyle/>
              <a:p>
                <a:pPr>
                  <a:defRPr lang="es-ES" sz="900" b="1" i="0" u="none" strike="noStrike" kern="1200" baseline="0">
                    <a:solidFill>
                      <a:schemeClr val="tx1">
                        <a:lumMod val="75000"/>
                        <a:lumOff val="25000"/>
                      </a:schemeClr>
                    </a:solidFill>
                    <a:latin typeface="+mn-lt"/>
                    <a:ea typeface="+mn-ea"/>
                    <a:cs typeface="+mn-cs"/>
                  </a:defRPr>
                </a:pPr>
                <a:endParaRPr lang="es-MX"/>
              </a:p>
            </c:txPr>
            <c:dLblPos val="t"/>
            <c:showSerName val="1"/>
            <c:extLst xmlns:c16r2="http://schemas.microsoft.com/office/drawing/2015/06/chart">
              <c:ext xmlns:c15="http://schemas.microsoft.com/office/drawing/2012/chart" uri="{CE6537A1-D6FC-4f65-9D91-7224C49458BB}">
                <c15:showLeaderLines val="0"/>
              </c:ext>
            </c:extLst>
          </c:dLbls>
          <c:xVal>
            <c:numRef>
              <c:f>Hoja1!$F$8</c:f>
              <c:numCache>
                <c:formatCode>0.0</c:formatCode>
                <c:ptCount val="1"/>
                <c:pt idx="0">
                  <c:v>-0.70000000000000018</c:v>
                </c:pt>
              </c:numCache>
            </c:numRef>
          </c:xVal>
          <c:yVal>
            <c:numRef>
              <c:f>Hoja1!$G$8</c:f>
              <c:numCache>
                <c:formatCode>0.0</c:formatCode>
                <c:ptCount val="1"/>
                <c:pt idx="0">
                  <c:v>10.713691559033144</c:v>
                </c:pt>
              </c:numCache>
            </c:numRef>
          </c:yVal>
          <c:extLst xmlns:c16r2="http://schemas.microsoft.com/office/drawing/2015/06/chart">
            <c:ext xmlns:c16="http://schemas.microsoft.com/office/drawing/2014/chart" uri="{C3380CC4-5D6E-409C-BE32-E72D297353CC}">
              <c16:uniqueId val="{00000005-9D48-4D4F-9713-CFCCCA5EBA4D}"/>
            </c:ext>
          </c:extLst>
        </c:ser>
        <c:ser>
          <c:idx val="5"/>
          <c:order val="5"/>
          <c:tx>
            <c:strRef>
              <c:f>Hoja1!$A$9</c:f>
              <c:strCache>
                <c:ptCount val="1"/>
                <c:pt idx="0">
                  <c:v>Menem-Duhalde</c:v>
                </c:pt>
              </c:strCache>
            </c:strRef>
          </c:tx>
          <c:spPr>
            <a:ln w="25400" cap="rnd">
              <a:noFill/>
              <a:round/>
            </a:ln>
            <a:effectLst/>
          </c:spPr>
          <c:marker>
            <c:symbol val="circle"/>
            <c:size val="5"/>
            <c:spPr>
              <a:solidFill>
                <a:schemeClr val="accent6"/>
              </a:solidFill>
              <a:ln w="9525">
                <a:solidFill>
                  <a:schemeClr val="accent6"/>
                </a:solidFill>
              </a:ln>
              <a:effectLst/>
            </c:spPr>
          </c:marker>
          <c:dLbls>
            <c:dLbl>
              <c:idx val="0"/>
              <c:layout>
                <c:manualLayout>
                  <c:x val="-7.1304602034065301E-2"/>
                  <c:y val="-3.2326179662156271E-2"/>
                </c:manualLayout>
              </c:layout>
              <c:dLblPos val="r"/>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D48-4D4F-9713-CFCCCA5EBA4D}"/>
                </c:ext>
              </c:extLst>
            </c:dLbl>
            <c:spPr>
              <a:noFill/>
              <a:ln>
                <a:noFill/>
              </a:ln>
              <a:effectLst/>
            </c:spPr>
            <c:txPr>
              <a:bodyPr rot="0" spcFirstLastPara="1" vertOverflow="ellipsis" vert="horz" wrap="square" anchor="ctr" anchorCtr="1"/>
              <a:lstStyle/>
              <a:p>
                <a:pPr>
                  <a:defRPr lang="es-ES" sz="900" b="1" i="0" u="none" strike="noStrike" kern="1200" baseline="0">
                    <a:solidFill>
                      <a:schemeClr val="tx1">
                        <a:lumMod val="75000"/>
                        <a:lumOff val="25000"/>
                      </a:schemeClr>
                    </a:solidFill>
                    <a:latin typeface="+mn-lt"/>
                    <a:ea typeface="+mn-ea"/>
                    <a:cs typeface="+mn-cs"/>
                  </a:defRPr>
                </a:pPr>
                <a:endParaRPr lang="es-MX"/>
              </a:p>
            </c:txPr>
            <c:dLblPos val="t"/>
            <c:showSerName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Hoja1!$F$9</c:f>
              <c:numCache>
                <c:formatCode>0.0</c:formatCode>
                <c:ptCount val="1"/>
                <c:pt idx="0">
                  <c:v>4.5</c:v>
                </c:pt>
              </c:numCache>
            </c:numRef>
          </c:xVal>
          <c:yVal>
            <c:numRef>
              <c:f>Hoja1!$G$9</c:f>
              <c:numCache>
                <c:formatCode>0.0</c:formatCode>
                <c:ptCount val="1"/>
                <c:pt idx="0">
                  <c:v>2.3655835654744726</c:v>
                </c:pt>
              </c:numCache>
            </c:numRef>
          </c:yVal>
          <c:extLst xmlns:c16r2="http://schemas.microsoft.com/office/drawing/2015/06/chart">
            <c:ext xmlns:c16="http://schemas.microsoft.com/office/drawing/2014/chart" uri="{C3380CC4-5D6E-409C-BE32-E72D297353CC}">
              <c16:uniqueId val="{00000007-9D48-4D4F-9713-CFCCCA5EBA4D}"/>
            </c:ext>
          </c:extLst>
        </c:ser>
        <c:ser>
          <c:idx val="6"/>
          <c:order val="6"/>
          <c:tx>
            <c:strRef>
              <c:f>Hoja1!$A$10</c:f>
              <c:strCache>
                <c:ptCount val="1"/>
                <c:pt idx="0">
                  <c:v>Menem-Ruckauf</c:v>
                </c:pt>
              </c:strCache>
            </c:strRef>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dLbls>
            <c:dLbl>
              <c:idx val="0"/>
              <c:layout>
                <c:manualLayout>
                  <c:x val="-9.0169146895208274E-2"/>
                  <c:y val="-4.5499268873466482E-2"/>
                </c:manualLayout>
              </c:layout>
              <c:dLblPos val="r"/>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D48-4D4F-9713-CFCCCA5EBA4D}"/>
                </c:ext>
              </c:extLst>
            </c:dLbl>
            <c:spPr>
              <a:noFill/>
              <a:ln>
                <a:noFill/>
              </a:ln>
              <a:effectLst/>
            </c:spPr>
            <c:txPr>
              <a:bodyPr rot="0" spcFirstLastPara="1" vertOverflow="ellipsis" vert="horz" wrap="square" anchor="ctr" anchorCtr="1"/>
              <a:lstStyle/>
              <a:p>
                <a:pPr>
                  <a:defRPr lang="es-ES" sz="900" b="1" i="0" u="none" strike="noStrike" kern="1200" baseline="0">
                    <a:solidFill>
                      <a:schemeClr val="tx1">
                        <a:lumMod val="75000"/>
                        <a:lumOff val="25000"/>
                      </a:schemeClr>
                    </a:solidFill>
                    <a:latin typeface="+mn-lt"/>
                    <a:ea typeface="+mn-ea"/>
                    <a:cs typeface="+mn-cs"/>
                  </a:defRPr>
                </a:pPr>
                <a:endParaRPr lang="es-MX"/>
              </a:p>
            </c:txPr>
            <c:dLblPos val="t"/>
            <c:showSerName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Hoja1!$F$10</c:f>
              <c:numCache>
                <c:formatCode>0.0</c:formatCode>
                <c:ptCount val="1"/>
                <c:pt idx="0">
                  <c:v>3.5</c:v>
                </c:pt>
              </c:numCache>
            </c:numRef>
          </c:xVal>
          <c:yVal>
            <c:numRef>
              <c:f>Hoja1!$G$10</c:f>
              <c:numCache>
                <c:formatCode>0.0</c:formatCode>
                <c:ptCount val="1"/>
                <c:pt idx="0">
                  <c:v>5.9757887727246697</c:v>
                </c:pt>
              </c:numCache>
            </c:numRef>
          </c:yVal>
          <c:extLst xmlns:c16r2="http://schemas.microsoft.com/office/drawing/2015/06/chart">
            <c:ext xmlns:c16="http://schemas.microsoft.com/office/drawing/2014/chart" uri="{C3380CC4-5D6E-409C-BE32-E72D297353CC}">
              <c16:uniqueId val="{00000009-9D48-4D4F-9713-CFCCCA5EBA4D}"/>
            </c:ext>
          </c:extLst>
        </c:ser>
        <c:ser>
          <c:idx val="7"/>
          <c:order val="7"/>
          <c:tx>
            <c:strRef>
              <c:f>Hoja1!$A$11</c:f>
              <c:strCache>
                <c:ptCount val="1"/>
                <c:pt idx="0">
                  <c:v>Kirchner-Scioli</c:v>
                </c:pt>
              </c:strCache>
            </c:strRef>
          </c:tx>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dLbls>
            <c:dLbl>
              <c:idx val="0"/>
              <c:layout>
                <c:manualLayout>
                  <c:x val="-5.8098458529936836E-2"/>
                  <c:y val="5.134947848302842E-2"/>
                </c:manualLayout>
              </c:layout>
              <c:dLblPos val="r"/>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9D48-4D4F-9713-CFCCCA5EBA4D}"/>
                </c:ext>
              </c:extLst>
            </c:dLbl>
            <c:spPr>
              <a:noFill/>
              <a:ln>
                <a:noFill/>
              </a:ln>
              <a:effectLst/>
            </c:spPr>
            <c:txPr>
              <a:bodyPr rot="0" spcFirstLastPara="1" vertOverflow="ellipsis" vert="horz" wrap="square" anchor="ctr" anchorCtr="1"/>
              <a:lstStyle/>
              <a:p>
                <a:pPr>
                  <a:defRPr lang="es-ES" sz="900" b="1" i="0" u="none" strike="noStrike" kern="1200" baseline="0">
                    <a:solidFill>
                      <a:schemeClr val="tx1">
                        <a:lumMod val="75000"/>
                        <a:lumOff val="25000"/>
                      </a:schemeClr>
                    </a:solidFill>
                    <a:latin typeface="+mn-lt"/>
                    <a:ea typeface="+mn-ea"/>
                    <a:cs typeface="+mn-cs"/>
                  </a:defRPr>
                </a:pPr>
                <a:endParaRPr lang="es-MX"/>
              </a:p>
            </c:txPr>
            <c:dLblPos val="t"/>
            <c:showSerName val="1"/>
            <c:extLst xmlns:c16r2="http://schemas.microsoft.com/office/drawing/2015/06/chart">
              <c:ext xmlns:c15="http://schemas.microsoft.com/office/drawing/2012/chart" uri="{CE6537A1-D6FC-4f65-9D91-7224C49458BB}">
                <c15:showLeaderLines val="0"/>
              </c:ext>
            </c:extLst>
          </c:dLbls>
          <c:xVal>
            <c:numRef>
              <c:f>Hoja1!$F$11</c:f>
              <c:numCache>
                <c:formatCode>0.0</c:formatCode>
                <c:ptCount val="1"/>
                <c:pt idx="0">
                  <c:v>8.8000000000000007</c:v>
                </c:pt>
              </c:numCache>
            </c:numRef>
          </c:xVal>
          <c:yVal>
            <c:numRef>
              <c:f>Hoja1!$G$11</c:f>
              <c:numCache>
                <c:formatCode>0.0</c:formatCode>
                <c:ptCount val="1"/>
                <c:pt idx="0">
                  <c:v>-9.3140671954394207</c:v>
                </c:pt>
              </c:numCache>
            </c:numRef>
          </c:yVal>
          <c:extLst xmlns:c16r2="http://schemas.microsoft.com/office/drawing/2015/06/chart">
            <c:ext xmlns:c16="http://schemas.microsoft.com/office/drawing/2014/chart" uri="{C3380CC4-5D6E-409C-BE32-E72D297353CC}">
              <c16:uniqueId val="{0000000A-9D48-4D4F-9713-CFCCCA5EBA4D}"/>
            </c:ext>
          </c:extLst>
        </c:ser>
        <c:ser>
          <c:idx val="8"/>
          <c:order val="8"/>
          <c:tx>
            <c:strRef>
              <c:f>Hoja1!$A$12</c:f>
              <c:strCache>
                <c:ptCount val="1"/>
                <c:pt idx="0">
                  <c:v>Fernández-Cobos</c:v>
                </c:pt>
              </c:strCache>
            </c:strRef>
          </c:tx>
          <c:spPr>
            <a:ln w="25400" cap="rnd">
              <a:noFill/>
              <a:round/>
            </a:ln>
            <a:effectLst/>
          </c:spPr>
          <c:marker>
            <c:symbol val="circle"/>
            <c:size val="5"/>
            <c:spPr>
              <a:solidFill>
                <a:schemeClr val="accent3">
                  <a:lumMod val="60000"/>
                </a:schemeClr>
              </a:solidFill>
              <a:ln w="9525">
                <a:solidFill>
                  <a:schemeClr val="accent3">
                    <a:lumMod val="60000"/>
                  </a:schemeClr>
                </a:solidFill>
              </a:ln>
              <a:effectLst/>
            </c:spPr>
          </c:marker>
          <c:dLbls>
            <c:dLbl>
              <c:idx val="0"/>
              <c:layout>
                <c:manualLayout>
                  <c:x val="-0.12264761001770358"/>
                  <c:y val="8.5307275195428536E-2"/>
                </c:manualLayout>
              </c:layout>
              <c:dLblPos val="r"/>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D48-4D4F-9713-CFCCCA5EBA4D}"/>
                </c:ext>
              </c:extLst>
            </c:dLbl>
            <c:spPr>
              <a:noFill/>
              <a:ln>
                <a:noFill/>
              </a:ln>
              <a:effectLst/>
            </c:spPr>
            <c:txPr>
              <a:bodyPr rot="0" spcFirstLastPara="1" vertOverflow="ellipsis" vert="horz" wrap="square" anchor="ctr" anchorCtr="1"/>
              <a:lstStyle/>
              <a:p>
                <a:pPr>
                  <a:defRPr lang="es-ES" sz="900" b="1" i="0" u="none" strike="noStrike" kern="1200" baseline="0">
                    <a:solidFill>
                      <a:schemeClr val="tx1">
                        <a:lumMod val="75000"/>
                        <a:lumOff val="25000"/>
                      </a:schemeClr>
                    </a:solidFill>
                    <a:latin typeface="+mn-lt"/>
                    <a:ea typeface="+mn-ea"/>
                    <a:cs typeface="+mn-cs"/>
                  </a:defRPr>
                </a:pPr>
                <a:endParaRPr lang="es-MX"/>
              </a:p>
            </c:txPr>
            <c:dLblPos val="t"/>
            <c:showSerName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Hoja1!$F$12</c:f>
              <c:numCache>
                <c:formatCode>0.0</c:formatCode>
                <c:ptCount val="1"/>
                <c:pt idx="0">
                  <c:v>3.6</c:v>
                </c:pt>
              </c:numCache>
            </c:numRef>
          </c:xVal>
          <c:yVal>
            <c:numRef>
              <c:f>Hoja1!$G$12</c:f>
              <c:numCache>
                <c:formatCode>0.0</c:formatCode>
                <c:ptCount val="1"/>
                <c:pt idx="0">
                  <c:v>1.900256259271482</c:v>
                </c:pt>
              </c:numCache>
            </c:numRef>
          </c:yVal>
          <c:extLst xmlns:c16r2="http://schemas.microsoft.com/office/drawing/2015/06/chart">
            <c:ext xmlns:c16="http://schemas.microsoft.com/office/drawing/2014/chart" uri="{C3380CC4-5D6E-409C-BE32-E72D297353CC}">
              <c16:uniqueId val="{0000000C-9D48-4D4F-9713-CFCCCA5EBA4D}"/>
            </c:ext>
          </c:extLst>
        </c:ser>
        <c:ser>
          <c:idx val="9"/>
          <c:order val="9"/>
          <c:tx>
            <c:strRef>
              <c:f>Hoja1!$A$13</c:f>
              <c:strCache>
                <c:ptCount val="1"/>
                <c:pt idx="0">
                  <c:v>Fernández-Boudou</c:v>
                </c:pt>
              </c:strCache>
            </c:strRef>
          </c:tx>
          <c:spPr>
            <a:ln w="25400" cap="rnd">
              <a:noFill/>
              <a:round/>
            </a:ln>
            <a:effectLst/>
          </c:spPr>
          <c:marker>
            <c:symbol val="circle"/>
            <c:size val="5"/>
            <c:spPr>
              <a:solidFill>
                <a:schemeClr val="accent4">
                  <a:lumMod val="60000"/>
                </a:schemeClr>
              </a:solidFill>
              <a:ln w="9525">
                <a:solidFill>
                  <a:schemeClr val="accent4">
                    <a:lumMod val="60000"/>
                  </a:schemeClr>
                </a:solidFill>
              </a:ln>
              <a:effectLst/>
            </c:spPr>
          </c:marker>
          <c:dLbls>
            <c:dLbl>
              <c:idx val="0"/>
              <c:layout>
                <c:manualLayout>
                  <c:x val="-4.7133537457880112E-2"/>
                  <c:y val="2.4615916441834734E-2"/>
                </c:manualLayout>
              </c:layout>
              <c:dLblPos val="r"/>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9D48-4D4F-9713-CFCCCA5EBA4D}"/>
                </c:ext>
              </c:extLst>
            </c:dLbl>
            <c:spPr>
              <a:noFill/>
              <a:ln>
                <a:noFill/>
              </a:ln>
              <a:effectLst/>
            </c:spPr>
            <c:txPr>
              <a:bodyPr rot="0" spcFirstLastPara="1" vertOverflow="ellipsis" vert="horz" wrap="square" anchor="ctr" anchorCtr="1"/>
              <a:lstStyle/>
              <a:p>
                <a:pPr>
                  <a:defRPr lang="es-ES" sz="900" b="1" i="0" u="none" strike="noStrike" kern="1200" baseline="0">
                    <a:solidFill>
                      <a:schemeClr val="tx1">
                        <a:lumMod val="75000"/>
                        <a:lumOff val="25000"/>
                      </a:schemeClr>
                    </a:solidFill>
                    <a:latin typeface="+mn-lt"/>
                    <a:ea typeface="+mn-ea"/>
                    <a:cs typeface="+mn-cs"/>
                  </a:defRPr>
                </a:pPr>
                <a:endParaRPr lang="es-MX"/>
              </a:p>
            </c:txPr>
            <c:dLblPos val="t"/>
            <c:showSerName val="1"/>
            <c:extLst xmlns:c16r2="http://schemas.microsoft.com/office/drawing/2015/06/chart">
              <c:ext xmlns:c15="http://schemas.microsoft.com/office/drawing/2012/chart" uri="{CE6537A1-D6FC-4f65-9D91-7224C49458BB}">
                <c15:showLeaderLines val="0"/>
              </c:ext>
            </c:extLst>
          </c:dLbls>
          <c:xVal>
            <c:numRef>
              <c:f>Hoja1!$F$13</c:f>
              <c:numCache>
                <c:formatCode>0.0</c:formatCode>
                <c:ptCount val="1"/>
                <c:pt idx="0">
                  <c:v>0.4</c:v>
                </c:pt>
              </c:numCache>
            </c:numRef>
          </c:xVal>
          <c:yVal>
            <c:numRef>
              <c:f>Hoja1!$G$13</c:f>
              <c:numCache>
                <c:formatCode>0.0</c:formatCode>
                <c:ptCount val="1"/>
                <c:pt idx="0">
                  <c:v>7.1155699542779987</c:v>
                </c:pt>
              </c:numCache>
            </c:numRef>
          </c:yVal>
          <c:extLst xmlns:c16r2="http://schemas.microsoft.com/office/drawing/2015/06/chart">
            <c:ext xmlns:c16="http://schemas.microsoft.com/office/drawing/2014/chart" uri="{C3380CC4-5D6E-409C-BE32-E72D297353CC}">
              <c16:uniqueId val="{0000000E-9D48-4D4F-9713-CFCCCA5EBA4D}"/>
            </c:ext>
          </c:extLst>
        </c:ser>
        <c:ser>
          <c:idx val="10"/>
          <c:order val="10"/>
          <c:tx>
            <c:strRef>
              <c:f>Hoja1!$A$14</c:f>
              <c:strCache>
                <c:ptCount val="1"/>
                <c:pt idx="0">
                  <c:v>Macri-Michetti</c:v>
                </c:pt>
              </c:strCache>
            </c:strRef>
          </c:tx>
          <c:spPr>
            <a:ln w="25400" cap="rnd">
              <a:noFill/>
              <a:round/>
            </a:ln>
            <a:effectLst/>
          </c:spPr>
          <c:marker>
            <c:symbol val="circle"/>
            <c:size val="5"/>
            <c:spPr>
              <a:solidFill>
                <a:schemeClr val="accent5">
                  <a:lumMod val="60000"/>
                </a:schemeClr>
              </a:solidFill>
              <a:ln w="9525">
                <a:solidFill>
                  <a:schemeClr val="accent5">
                    <a:lumMod val="60000"/>
                  </a:schemeClr>
                </a:solidFill>
              </a:ln>
              <a:effectLst/>
            </c:spPr>
          </c:marker>
          <c:dLbls>
            <c:dLbl>
              <c:idx val="0"/>
              <c:layout>
                <c:manualLayout>
                  <c:x val="-0.13127939793038571"/>
                  <c:y val="-4.3689487493021768E-2"/>
                </c:manualLayout>
              </c:layout>
              <c:dLblPos val="r"/>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9D48-4D4F-9713-CFCCCA5EBA4D}"/>
                </c:ext>
              </c:extLst>
            </c:dLbl>
            <c:spPr>
              <a:noFill/>
              <a:ln>
                <a:noFill/>
              </a:ln>
              <a:effectLst/>
            </c:spPr>
            <c:txPr>
              <a:bodyPr rot="0" spcFirstLastPara="1" vertOverflow="ellipsis" vert="horz" wrap="square" anchor="ctr" anchorCtr="1"/>
              <a:lstStyle/>
              <a:p>
                <a:pPr>
                  <a:defRPr lang="es-ES" sz="900" b="1" i="0" u="none" strike="noStrike" kern="1200" baseline="0">
                    <a:solidFill>
                      <a:schemeClr val="tx1">
                        <a:lumMod val="75000"/>
                        <a:lumOff val="25000"/>
                      </a:schemeClr>
                    </a:solidFill>
                    <a:latin typeface="+mn-lt"/>
                    <a:ea typeface="+mn-ea"/>
                    <a:cs typeface="+mn-cs"/>
                  </a:defRPr>
                </a:pPr>
                <a:endParaRPr lang="es-MX"/>
              </a:p>
            </c:txPr>
            <c:dLblPos val="t"/>
            <c:showSerName val="1"/>
            <c:extLst xmlns:c16r2="http://schemas.microsoft.com/office/drawing/2015/06/chart">
              <c:ext xmlns:c15="http://schemas.microsoft.com/office/drawing/2012/chart" uri="{CE6537A1-D6FC-4f65-9D91-7224C49458BB}">
                <c15:showLeaderLines val="0"/>
              </c:ext>
            </c:extLst>
          </c:dLbls>
          <c:xVal>
            <c:numRef>
              <c:f>Hoja1!$F$14</c:f>
              <c:numCache>
                <c:formatCode>0.0</c:formatCode>
                <c:ptCount val="1"/>
                <c:pt idx="0">
                  <c:v>-0.9</c:v>
                </c:pt>
              </c:numCache>
            </c:numRef>
          </c:xVal>
          <c:yVal>
            <c:numRef>
              <c:f>Hoja1!$G$14</c:f>
              <c:numCache>
                <c:formatCode>0.0</c:formatCode>
                <c:ptCount val="1"/>
                <c:pt idx="0">
                  <c:v>24.742908743705343</c:v>
                </c:pt>
              </c:numCache>
            </c:numRef>
          </c:yVal>
          <c:extLst xmlns:c16r2="http://schemas.microsoft.com/office/drawing/2015/06/chart">
            <c:ext xmlns:c16="http://schemas.microsoft.com/office/drawing/2014/chart" uri="{C3380CC4-5D6E-409C-BE32-E72D297353CC}">
              <c16:uniqueId val="{0000000F-9D48-4D4F-9713-CFCCCA5EBA4D}"/>
            </c:ext>
          </c:extLst>
        </c:ser>
        <c:ser>
          <c:idx val="11"/>
          <c:order val="11"/>
          <c:tx>
            <c:strRef>
              <c:f>Hoja1!$A$7</c:f>
              <c:strCache>
                <c:ptCount val="1"/>
                <c:pt idx="0">
                  <c:v>Illia-Perette</c:v>
                </c:pt>
              </c:strCache>
            </c:strRef>
          </c:tx>
          <c:spPr>
            <a:ln w="25400" cap="rnd">
              <a:noFill/>
              <a:round/>
            </a:ln>
            <a:effectLst/>
          </c:spPr>
          <c:marker>
            <c:symbol val="circle"/>
            <c:size val="5"/>
            <c:spPr>
              <a:solidFill>
                <a:schemeClr val="accent6">
                  <a:lumMod val="60000"/>
                </a:schemeClr>
              </a:solidFill>
              <a:ln w="9525">
                <a:solidFill>
                  <a:schemeClr val="accent6">
                    <a:lumMod val="60000"/>
                  </a:schemeClr>
                </a:solidFill>
              </a:ln>
              <a:effectLst/>
            </c:spPr>
          </c:marker>
          <c:dLbls>
            <c:dLbl>
              <c:idx val="0"/>
              <c:layout>
                <c:manualLayout>
                  <c:x val="-3.653688345924435E-2"/>
                  <c:y val="-5.5036020457893568E-2"/>
                </c:manualLayout>
              </c:layout>
              <c:dLblPos val="r"/>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9D48-4D4F-9713-CFCCCA5EBA4D}"/>
                </c:ext>
              </c:extLst>
            </c:dLbl>
            <c:spPr>
              <a:noFill/>
              <a:ln>
                <a:noFill/>
              </a:ln>
              <a:effectLst/>
            </c:spPr>
            <c:txPr>
              <a:bodyPr rot="0" spcFirstLastPara="1" vertOverflow="ellipsis" vert="horz" wrap="square" anchor="ctr" anchorCtr="1"/>
              <a:lstStyle/>
              <a:p>
                <a:pPr>
                  <a:defRPr lang="es-ES" sz="900" b="1" i="0" u="none" strike="noStrike" kern="1200" baseline="0">
                    <a:solidFill>
                      <a:schemeClr val="tx1">
                        <a:lumMod val="75000"/>
                        <a:lumOff val="25000"/>
                      </a:schemeClr>
                    </a:solidFill>
                    <a:latin typeface="+mn-lt"/>
                    <a:ea typeface="+mn-ea"/>
                    <a:cs typeface="+mn-cs"/>
                  </a:defRPr>
                </a:pPr>
                <a:endParaRPr lang="es-MX"/>
              </a:p>
            </c:txPr>
            <c:dLblPos val="t"/>
            <c:showVal val="1"/>
            <c:extLst xmlns:c16r2="http://schemas.microsoft.com/office/drawing/2015/06/chart">
              <c:ext xmlns:c15="http://schemas.microsoft.com/office/drawing/2012/chart" uri="{CE6537A1-D6FC-4f65-9D91-7224C49458BB}">
                <c15:showLeaderLines val="0"/>
              </c:ext>
            </c:extLst>
          </c:dLbls>
          <c:xVal>
            <c:numRef>
              <c:f>Hoja1!$F$7</c:f>
              <c:numCache>
                <c:formatCode>0.0</c:formatCode>
                <c:ptCount val="1"/>
                <c:pt idx="0">
                  <c:v>6.7</c:v>
                </c:pt>
              </c:numCache>
            </c:numRef>
          </c:xVal>
          <c:yVal>
            <c:numRef>
              <c:f>Hoja1!$G$7</c:f>
              <c:numCache>
                <c:formatCode>0.0</c:formatCode>
                <c:ptCount val="1"/>
                <c:pt idx="0">
                  <c:v>-2.4999672696351607</c:v>
                </c:pt>
              </c:numCache>
            </c:numRef>
          </c:yVal>
          <c:extLst xmlns:c16r2="http://schemas.microsoft.com/office/drawing/2015/06/chart">
            <c:ext xmlns:c16="http://schemas.microsoft.com/office/drawing/2014/chart" uri="{C3380CC4-5D6E-409C-BE32-E72D297353CC}">
              <c16:uniqueId val="{00000011-9D48-4D4F-9713-CFCCCA5EBA4D}"/>
            </c:ext>
          </c:extLst>
        </c:ser>
        <c:dLbls>
          <c:showVal val="1"/>
        </c:dLbls>
        <c:axId val="43984000"/>
        <c:axId val="43985920"/>
      </c:scatterChart>
      <c:valAx>
        <c:axId val="43984000"/>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s-ES" sz="1000" b="1" i="0" u="none" strike="noStrike" kern="1200" baseline="0">
                    <a:solidFill>
                      <a:schemeClr val="tx1">
                        <a:lumMod val="65000"/>
                        <a:lumOff val="35000"/>
                      </a:schemeClr>
                    </a:solidFill>
                    <a:latin typeface="+mn-lt"/>
                    <a:ea typeface="+mn-ea"/>
                    <a:cs typeface="+mn-cs"/>
                  </a:defRPr>
                </a:pPr>
                <a:r>
                  <a:rPr lang="es-AR"/>
                  <a:t>Variación del PBI</a:t>
                </a:r>
              </a:p>
            </c:rich>
          </c:tx>
          <c:spPr>
            <a:noFill/>
            <a:ln>
              <a:noFill/>
            </a:ln>
            <a:effectLst/>
          </c:spPr>
        </c:title>
        <c:numFmt formatCode="0" sourceLinked="0"/>
        <c:majorTickMark val="none"/>
        <c:tickLblPos val="nextTo"/>
        <c:spPr>
          <a:noFill/>
          <a:ln w="25400" cap="flat" cmpd="sng" algn="ctr">
            <a:solidFill>
              <a:schemeClr val="tx1">
                <a:lumMod val="25000"/>
                <a:lumOff val="7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43985920"/>
        <c:crosses val="autoZero"/>
        <c:crossBetween val="midCat"/>
      </c:valAx>
      <c:valAx>
        <c:axId val="4398592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s-ES" sz="1000" b="1" i="0" u="none" strike="noStrike" kern="1200" baseline="0">
                    <a:solidFill>
                      <a:schemeClr val="tx1">
                        <a:lumMod val="65000"/>
                        <a:lumOff val="35000"/>
                      </a:schemeClr>
                    </a:solidFill>
                    <a:latin typeface="+mn-lt"/>
                    <a:ea typeface="+mn-ea"/>
                    <a:cs typeface="+mn-cs"/>
                  </a:defRPr>
                </a:pPr>
                <a:r>
                  <a:rPr lang="es-AR"/>
                  <a:t>Variación de la Deuda Externa Pública</a:t>
                </a:r>
              </a:p>
            </c:rich>
          </c:tx>
          <c:spPr>
            <a:noFill/>
            <a:ln>
              <a:noFill/>
            </a:ln>
            <a:effectLst/>
          </c:spPr>
        </c:title>
        <c:numFmt formatCode="0" sourceLinked="0"/>
        <c:majorTickMark val="none"/>
        <c:tickLblPos val="nextTo"/>
        <c:spPr>
          <a:noFill/>
          <a:ln w="31750" cap="flat" cmpd="sng" algn="ctr">
            <a:solidFill>
              <a:schemeClr val="tx1">
                <a:lumMod val="25000"/>
                <a:lumOff val="7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43984000"/>
        <c:crosses val="autoZero"/>
        <c:crossBetween val="midCat"/>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b="1"/>
      </a:pPr>
      <a:endParaRPr lang="es-MX"/>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lineChart>
        <c:grouping val="standard"/>
        <c:ser>
          <c:idx val="2"/>
          <c:order val="1"/>
          <c:tx>
            <c:v>Deuda Pública Externa (eje primario)</c:v>
          </c:tx>
          <c:spPr>
            <a:ln w="28575" cap="rnd">
              <a:solidFill>
                <a:srgbClr val="C00000"/>
              </a:solidFill>
              <a:round/>
            </a:ln>
            <a:effectLst/>
          </c:spPr>
          <c:marker>
            <c:symbol val="none"/>
          </c:marker>
          <c:cat>
            <c:numRef>
              <c:f>Hoja1!$A$60:$A$162</c:f>
              <c:numCache>
                <c:formatCode>@</c:formatCode>
                <c:ptCount val="103"/>
                <c:pt idx="0">
                  <c:v>1916</c:v>
                </c:pt>
                <c:pt idx="1">
                  <c:v>1917</c:v>
                </c:pt>
                <c:pt idx="2">
                  <c:v>1918</c:v>
                </c:pt>
                <c:pt idx="3">
                  <c:v>1919</c:v>
                </c:pt>
                <c:pt idx="4">
                  <c:v>1920</c:v>
                </c:pt>
                <c:pt idx="5">
                  <c:v>1921</c:v>
                </c:pt>
                <c:pt idx="6">
                  <c:v>1922</c:v>
                </c:pt>
                <c:pt idx="7">
                  <c:v>1923</c:v>
                </c:pt>
                <c:pt idx="8">
                  <c:v>1924</c:v>
                </c:pt>
                <c:pt idx="9">
                  <c:v>1925</c:v>
                </c:pt>
                <c:pt idx="10">
                  <c:v>1926</c:v>
                </c:pt>
                <c:pt idx="11">
                  <c:v>1927</c:v>
                </c:pt>
                <c:pt idx="12">
                  <c:v>1928</c:v>
                </c:pt>
                <c:pt idx="13">
                  <c:v>1929</c:v>
                </c:pt>
                <c:pt idx="14">
                  <c:v>1930</c:v>
                </c:pt>
                <c:pt idx="15">
                  <c:v>1931</c:v>
                </c:pt>
                <c:pt idx="16">
                  <c:v>1932</c:v>
                </c:pt>
                <c:pt idx="17">
                  <c:v>1933</c:v>
                </c:pt>
                <c:pt idx="18">
                  <c:v>1934</c:v>
                </c:pt>
                <c:pt idx="19">
                  <c:v>1935</c:v>
                </c:pt>
                <c:pt idx="20">
                  <c:v>1936</c:v>
                </c:pt>
                <c:pt idx="21">
                  <c:v>1937</c:v>
                </c:pt>
                <c:pt idx="22">
                  <c:v>1938</c:v>
                </c:pt>
                <c:pt idx="23">
                  <c:v>1939</c:v>
                </c:pt>
                <c:pt idx="24">
                  <c:v>1940</c:v>
                </c:pt>
                <c:pt idx="25">
                  <c:v>1941</c:v>
                </c:pt>
                <c:pt idx="26">
                  <c:v>1942</c:v>
                </c:pt>
                <c:pt idx="27">
                  <c:v>1943</c:v>
                </c:pt>
                <c:pt idx="28">
                  <c:v>1944</c:v>
                </c:pt>
                <c:pt idx="29">
                  <c:v>1945</c:v>
                </c:pt>
                <c:pt idx="30">
                  <c:v>1946</c:v>
                </c:pt>
                <c:pt idx="31">
                  <c:v>1947</c:v>
                </c:pt>
                <c:pt idx="32">
                  <c:v>1948</c:v>
                </c:pt>
                <c:pt idx="33">
                  <c:v>1949</c:v>
                </c:pt>
                <c:pt idx="34">
                  <c:v>1950</c:v>
                </c:pt>
                <c:pt idx="35">
                  <c:v>1951</c:v>
                </c:pt>
                <c:pt idx="36">
                  <c:v>1952</c:v>
                </c:pt>
                <c:pt idx="37">
                  <c:v>1953</c:v>
                </c:pt>
                <c:pt idx="38">
                  <c:v>1954</c:v>
                </c:pt>
                <c:pt idx="39">
                  <c:v>1955</c:v>
                </c:pt>
                <c:pt idx="40">
                  <c:v>1956</c:v>
                </c:pt>
                <c:pt idx="41">
                  <c:v>1957</c:v>
                </c:pt>
                <c:pt idx="42">
                  <c:v>1958</c:v>
                </c:pt>
                <c:pt idx="43">
                  <c:v>1959</c:v>
                </c:pt>
                <c:pt idx="44">
                  <c:v>1960</c:v>
                </c:pt>
                <c:pt idx="45">
                  <c:v>1961</c:v>
                </c:pt>
                <c:pt idx="46">
                  <c:v>1962</c:v>
                </c:pt>
                <c:pt idx="47">
                  <c:v>1963</c:v>
                </c:pt>
                <c:pt idx="48">
                  <c:v>1964</c:v>
                </c:pt>
                <c:pt idx="49">
                  <c:v>1965</c:v>
                </c:pt>
                <c:pt idx="50">
                  <c:v>1966</c:v>
                </c:pt>
                <c:pt idx="51">
                  <c:v>1967</c:v>
                </c:pt>
                <c:pt idx="52">
                  <c:v>1968</c:v>
                </c:pt>
                <c:pt idx="53">
                  <c:v>1969</c:v>
                </c:pt>
                <c:pt idx="54">
                  <c:v>1970</c:v>
                </c:pt>
                <c:pt idx="55">
                  <c:v>1971</c:v>
                </c:pt>
                <c:pt idx="56">
                  <c:v>1972</c:v>
                </c:pt>
                <c:pt idx="57">
                  <c:v>1973</c:v>
                </c:pt>
                <c:pt idx="58">
                  <c:v>1974</c:v>
                </c:pt>
                <c:pt idx="59">
                  <c:v>1975</c:v>
                </c:pt>
                <c:pt idx="60">
                  <c:v>1976</c:v>
                </c:pt>
                <c:pt idx="61">
                  <c:v>1977</c:v>
                </c:pt>
                <c:pt idx="62">
                  <c:v>1978</c:v>
                </c:pt>
                <c:pt idx="63">
                  <c:v>1979</c:v>
                </c:pt>
                <c:pt idx="64">
                  <c:v>1980</c:v>
                </c:pt>
                <c:pt idx="65">
                  <c:v>1981</c:v>
                </c:pt>
                <c:pt idx="66">
                  <c:v>1982</c:v>
                </c:pt>
                <c:pt idx="67">
                  <c:v>1983</c:v>
                </c:pt>
                <c:pt idx="68">
                  <c:v>1984</c:v>
                </c:pt>
                <c:pt idx="69">
                  <c:v>1985</c:v>
                </c:pt>
                <c:pt idx="70">
                  <c:v>1986</c:v>
                </c:pt>
                <c:pt idx="71">
                  <c:v>1987</c:v>
                </c:pt>
                <c:pt idx="72">
                  <c:v>1988</c:v>
                </c:pt>
                <c:pt idx="73">
                  <c:v>1989</c:v>
                </c:pt>
                <c:pt idx="74">
                  <c:v>1990</c:v>
                </c:pt>
                <c:pt idx="75">
                  <c:v>1991</c:v>
                </c:pt>
                <c:pt idx="76">
                  <c:v>1992</c:v>
                </c:pt>
                <c:pt idx="77">
                  <c:v>1993</c:v>
                </c:pt>
                <c:pt idx="78">
                  <c:v>1994</c:v>
                </c:pt>
                <c:pt idx="79">
                  <c:v>1995</c:v>
                </c:pt>
                <c:pt idx="80">
                  <c:v>1996</c:v>
                </c:pt>
                <c:pt idx="81">
                  <c:v>1997</c:v>
                </c:pt>
                <c:pt idx="82">
                  <c:v>1998</c:v>
                </c:pt>
                <c:pt idx="83">
                  <c:v>1999</c:v>
                </c:pt>
                <c:pt idx="84">
                  <c:v>2000</c:v>
                </c:pt>
                <c:pt idx="85">
                  <c:v>2001</c:v>
                </c:pt>
                <c:pt idx="86">
                  <c:v>2002</c:v>
                </c:pt>
                <c:pt idx="87">
                  <c:v>2003</c:v>
                </c:pt>
                <c:pt idx="88">
                  <c:v>2004</c:v>
                </c:pt>
                <c:pt idx="89">
                  <c:v>2005</c:v>
                </c:pt>
                <c:pt idx="90">
                  <c:v>2006</c:v>
                </c:pt>
                <c:pt idx="91">
                  <c:v>2007</c:v>
                </c:pt>
                <c:pt idx="92">
                  <c:v>2008</c:v>
                </c:pt>
                <c:pt idx="93">
                  <c:v>2009</c:v>
                </c:pt>
                <c:pt idx="94">
                  <c:v>2010</c:v>
                </c:pt>
                <c:pt idx="95">
                  <c:v>2011</c:v>
                </c:pt>
                <c:pt idx="96">
                  <c:v>2012</c:v>
                </c:pt>
                <c:pt idx="97">
                  <c:v>2013</c:v>
                </c:pt>
                <c:pt idx="98">
                  <c:v>2014</c:v>
                </c:pt>
                <c:pt idx="99">
                  <c:v>2015</c:v>
                </c:pt>
                <c:pt idx="100">
                  <c:v>2016</c:v>
                </c:pt>
                <c:pt idx="101">
                  <c:v>2017</c:v>
                </c:pt>
                <c:pt idx="102">
                  <c:v>2018</c:v>
                </c:pt>
              </c:numCache>
            </c:numRef>
          </c:cat>
          <c:val>
            <c:numRef>
              <c:f>Hoja1!$H$60:$H$162</c:f>
              <c:numCache>
                <c:formatCode>General</c:formatCode>
                <c:ptCount val="103"/>
                <c:pt idx="0">
                  <c:v>100</c:v>
                </c:pt>
                <c:pt idx="1">
                  <c:v>101.15195517861925</c:v>
                </c:pt>
                <c:pt idx="2">
                  <c:v>98.757869751985922</c:v>
                </c:pt>
                <c:pt idx="3">
                  <c:v>93.508482279029408</c:v>
                </c:pt>
                <c:pt idx="4">
                  <c:v>80.820884139990454</c:v>
                </c:pt>
                <c:pt idx="5">
                  <c:v>61.395225350385253</c:v>
                </c:pt>
                <c:pt idx="6">
                  <c:v>66.452993275960324</c:v>
                </c:pt>
                <c:pt idx="7">
                  <c:v>63.887678309821474</c:v>
                </c:pt>
                <c:pt idx="8">
                  <c:v>80.947873768816976</c:v>
                </c:pt>
                <c:pt idx="9">
                  <c:v>115.31801627014111</c:v>
                </c:pt>
                <c:pt idx="10">
                  <c:v>123.87661996224946</c:v>
                </c:pt>
                <c:pt idx="11">
                  <c:v>160.84394977158451</c:v>
                </c:pt>
                <c:pt idx="12">
                  <c:v>162.18775868510645</c:v>
                </c:pt>
                <c:pt idx="13">
                  <c:v>154.19893415217717</c:v>
                </c:pt>
                <c:pt idx="14">
                  <c:v>130.0685859698653</c:v>
                </c:pt>
                <c:pt idx="15">
                  <c:v>113.38568264541451</c:v>
                </c:pt>
                <c:pt idx="16">
                  <c:v>93.635674567968778</c:v>
                </c:pt>
                <c:pt idx="17">
                  <c:v>141.13272774423834</c:v>
                </c:pt>
                <c:pt idx="18">
                  <c:v>113.21376770736991</c:v>
                </c:pt>
                <c:pt idx="19">
                  <c:v>112.81120154496402</c:v>
                </c:pt>
                <c:pt idx="20">
                  <c:v>117.01147448262181</c:v>
                </c:pt>
                <c:pt idx="21">
                  <c:v>96.372725627137285</c:v>
                </c:pt>
                <c:pt idx="22">
                  <c:v>87.240622894193663</c:v>
                </c:pt>
                <c:pt idx="23">
                  <c:v>91.665081864425744</c:v>
                </c:pt>
                <c:pt idx="24">
                  <c:v>87.746792885002847</c:v>
                </c:pt>
                <c:pt idx="25">
                  <c:v>87.295949504758411</c:v>
                </c:pt>
                <c:pt idx="26">
                  <c:v>82.254624323411676</c:v>
                </c:pt>
                <c:pt idx="27">
                  <c:v>75.23250727440201</c:v>
                </c:pt>
                <c:pt idx="28">
                  <c:v>44.919461999584151</c:v>
                </c:pt>
                <c:pt idx="29">
                  <c:v>41.152991937801353</c:v>
                </c:pt>
                <c:pt idx="30">
                  <c:v>9.1801753675060951</c:v>
                </c:pt>
                <c:pt idx="31">
                  <c:v>7.3996348621005845</c:v>
                </c:pt>
                <c:pt idx="32">
                  <c:v>3.1407512744577359</c:v>
                </c:pt>
                <c:pt idx="33">
                  <c:v>1.5135607916449034</c:v>
                </c:pt>
                <c:pt idx="34">
                  <c:v>0.82863219063034621</c:v>
                </c:pt>
                <c:pt idx="35">
                  <c:v>0.37401457476232236</c:v>
                </c:pt>
                <c:pt idx="36">
                  <c:v>0.18302733328479312</c:v>
                </c:pt>
                <c:pt idx="37">
                  <c:v>0</c:v>
                </c:pt>
                <c:pt idx="38">
                  <c:v>0</c:v>
                </c:pt>
                <c:pt idx="39">
                  <c:v>0</c:v>
                </c:pt>
                <c:pt idx="40">
                  <c:v>0</c:v>
                </c:pt>
                <c:pt idx="41">
                  <c:v>0</c:v>
                </c:pt>
                <c:pt idx="42">
                  <c:v>0</c:v>
                </c:pt>
                <c:pt idx="43">
                  <c:v>0</c:v>
                </c:pt>
                <c:pt idx="44">
                  <c:v>0</c:v>
                </c:pt>
                <c:pt idx="45">
                  <c:v>48.903913305825206</c:v>
                </c:pt>
                <c:pt idx="46">
                  <c:v>911.76029219649956</c:v>
                </c:pt>
                <c:pt idx="47">
                  <c:v>919.4348683169776</c:v>
                </c:pt>
                <c:pt idx="48">
                  <c:v>825.27504649802142</c:v>
                </c:pt>
                <c:pt idx="49">
                  <c:v>788.82941371063941</c:v>
                </c:pt>
                <c:pt idx="50">
                  <c:v>852.18768562902392</c:v>
                </c:pt>
                <c:pt idx="51">
                  <c:v>687.95863967870878</c:v>
                </c:pt>
                <c:pt idx="52">
                  <c:v>603.77920833032852</c:v>
                </c:pt>
                <c:pt idx="53">
                  <c:v>687.02943091075861</c:v>
                </c:pt>
                <c:pt idx="54">
                  <c:v>737.65410119426895</c:v>
                </c:pt>
                <c:pt idx="55">
                  <c:v>869.60174624320302</c:v>
                </c:pt>
                <c:pt idx="56">
                  <c:v>1048.250735666523</c:v>
                </c:pt>
                <c:pt idx="57">
                  <c:v>1141.3436881593148</c:v>
                </c:pt>
                <c:pt idx="58">
                  <c:v>1334.7911875907314</c:v>
                </c:pt>
                <c:pt idx="59">
                  <c:v>1700.4520453489245</c:v>
                </c:pt>
                <c:pt idx="60">
                  <c:v>2287.7464018330247</c:v>
                </c:pt>
                <c:pt idx="61">
                  <c:v>2796.8151461115399</c:v>
                </c:pt>
                <c:pt idx="62">
                  <c:v>3253.1943117333162</c:v>
                </c:pt>
                <c:pt idx="63">
                  <c:v>3427.8511449684079</c:v>
                </c:pt>
                <c:pt idx="64">
                  <c:v>4976.0850280712648</c:v>
                </c:pt>
                <c:pt idx="65">
                  <c:v>6891.2875442353507</c:v>
                </c:pt>
                <c:pt idx="66">
                  <c:v>8355.9958836413298</c:v>
                </c:pt>
                <c:pt idx="67">
                  <c:v>10912.696601086633</c:v>
                </c:pt>
                <c:pt idx="68">
                  <c:v>12226.666629247353</c:v>
                </c:pt>
                <c:pt idx="69">
                  <c:v>14064.779232811152</c:v>
                </c:pt>
                <c:pt idx="70">
                  <c:v>15392.515316793355</c:v>
                </c:pt>
                <c:pt idx="71">
                  <c:v>17824.633229054212</c:v>
                </c:pt>
                <c:pt idx="72">
                  <c:v>18401.0868165789</c:v>
                </c:pt>
                <c:pt idx="73">
                  <c:v>20097.409045181372</c:v>
                </c:pt>
                <c:pt idx="74">
                  <c:v>18971.345678983897</c:v>
                </c:pt>
                <c:pt idx="75">
                  <c:v>18150.200449232318</c:v>
                </c:pt>
                <c:pt idx="76">
                  <c:v>17440.904423030319</c:v>
                </c:pt>
                <c:pt idx="77">
                  <c:v>18453.397828700534</c:v>
                </c:pt>
                <c:pt idx="78">
                  <c:v>21085.295626070671</c:v>
                </c:pt>
                <c:pt idx="79">
                  <c:v>23124.048493232629</c:v>
                </c:pt>
                <c:pt idx="80">
                  <c:v>25506.092377442779</c:v>
                </c:pt>
                <c:pt idx="81">
                  <c:v>25781.069342476938</c:v>
                </c:pt>
                <c:pt idx="82">
                  <c:v>28602.76663448583</c:v>
                </c:pt>
                <c:pt idx="83">
                  <c:v>29166.915416803</c:v>
                </c:pt>
                <c:pt idx="84">
                  <c:v>29230.868931656722</c:v>
                </c:pt>
                <c:pt idx="85">
                  <c:v>30253.316727481855</c:v>
                </c:pt>
                <c:pt idx="86">
                  <c:v>31402.756588248623</c:v>
                </c:pt>
                <c:pt idx="87">
                  <c:v>36443.841857518091</c:v>
                </c:pt>
                <c:pt idx="88">
                  <c:v>39881.510225545913</c:v>
                </c:pt>
                <c:pt idx="89">
                  <c:v>22666.155061470443</c:v>
                </c:pt>
                <c:pt idx="90">
                  <c:v>21251.692825812897</c:v>
                </c:pt>
                <c:pt idx="91">
                  <c:v>24648.122948368724</c:v>
                </c:pt>
                <c:pt idx="92">
                  <c:v>22503.371451381383</c:v>
                </c:pt>
                <c:pt idx="93">
                  <c:v>22547.766981405701</c:v>
                </c:pt>
                <c:pt idx="94">
                  <c:v>25524.332401406256</c:v>
                </c:pt>
                <c:pt idx="95">
                  <c:v>26575.714914772176</c:v>
                </c:pt>
                <c:pt idx="96">
                  <c:v>26002.014538411771</c:v>
                </c:pt>
                <c:pt idx="97">
                  <c:v>25516.072767913356</c:v>
                </c:pt>
                <c:pt idx="98">
                  <c:v>27783.686313107479</c:v>
                </c:pt>
                <c:pt idx="99">
                  <c:v>34986.086718908417</c:v>
                </c:pt>
                <c:pt idx="100">
                  <c:v>42331.654105252739</c:v>
                </c:pt>
                <c:pt idx="101">
                  <c:v>55954.121270065072</c:v>
                </c:pt>
                <c:pt idx="102">
                  <c:v>68457.247535513307</c:v>
                </c:pt>
              </c:numCache>
            </c:numRef>
          </c:val>
          <c:extLst xmlns:c16r2="http://schemas.microsoft.com/office/drawing/2015/06/chart">
            <c:ext xmlns:c16="http://schemas.microsoft.com/office/drawing/2014/chart" uri="{C3380CC4-5D6E-409C-BE32-E72D297353CC}">
              <c16:uniqueId val="{00000000-0D96-436C-9854-9CCB0DB31C59}"/>
            </c:ext>
          </c:extLst>
        </c:ser>
        <c:marker val="1"/>
        <c:axId val="44033152"/>
        <c:axId val="44034688"/>
      </c:lineChart>
      <c:lineChart>
        <c:grouping val="standard"/>
        <c:ser>
          <c:idx val="1"/>
          <c:order val="0"/>
          <c:tx>
            <c:v>PBI (eje secundario)</c:v>
          </c:tx>
          <c:spPr>
            <a:ln w="28575" cap="rnd">
              <a:solidFill>
                <a:srgbClr val="0070C0"/>
              </a:solidFill>
              <a:round/>
            </a:ln>
            <a:effectLst/>
          </c:spPr>
          <c:marker>
            <c:symbol val="none"/>
          </c:marker>
          <c:cat>
            <c:numRef>
              <c:f>Hoja1!$A$60:$A$162</c:f>
              <c:numCache>
                <c:formatCode>@</c:formatCode>
                <c:ptCount val="103"/>
                <c:pt idx="0">
                  <c:v>1916</c:v>
                </c:pt>
                <c:pt idx="1">
                  <c:v>1917</c:v>
                </c:pt>
                <c:pt idx="2">
                  <c:v>1918</c:v>
                </c:pt>
                <c:pt idx="3">
                  <c:v>1919</c:v>
                </c:pt>
                <c:pt idx="4">
                  <c:v>1920</c:v>
                </c:pt>
                <c:pt idx="5">
                  <c:v>1921</c:v>
                </c:pt>
                <c:pt idx="6">
                  <c:v>1922</c:v>
                </c:pt>
                <c:pt idx="7">
                  <c:v>1923</c:v>
                </c:pt>
                <c:pt idx="8">
                  <c:v>1924</c:v>
                </c:pt>
                <c:pt idx="9">
                  <c:v>1925</c:v>
                </c:pt>
                <c:pt idx="10">
                  <c:v>1926</c:v>
                </c:pt>
                <c:pt idx="11">
                  <c:v>1927</c:v>
                </c:pt>
                <c:pt idx="12">
                  <c:v>1928</c:v>
                </c:pt>
                <c:pt idx="13">
                  <c:v>1929</c:v>
                </c:pt>
                <c:pt idx="14">
                  <c:v>1930</c:v>
                </c:pt>
                <c:pt idx="15">
                  <c:v>1931</c:v>
                </c:pt>
                <c:pt idx="16">
                  <c:v>1932</c:v>
                </c:pt>
                <c:pt idx="17">
                  <c:v>1933</c:v>
                </c:pt>
                <c:pt idx="18">
                  <c:v>1934</c:v>
                </c:pt>
                <c:pt idx="19">
                  <c:v>1935</c:v>
                </c:pt>
                <c:pt idx="20">
                  <c:v>1936</c:v>
                </c:pt>
                <c:pt idx="21">
                  <c:v>1937</c:v>
                </c:pt>
                <c:pt idx="22">
                  <c:v>1938</c:v>
                </c:pt>
                <c:pt idx="23">
                  <c:v>1939</c:v>
                </c:pt>
                <c:pt idx="24">
                  <c:v>1940</c:v>
                </c:pt>
                <c:pt idx="25">
                  <c:v>1941</c:v>
                </c:pt>
                <c:pt idx="26">
                  <c:v>1942</c:v>
                </c:pt>
                <c:pt idx="27">
                  <c:v>1943</c:v>
                </c:pt>
                <c:pt idx="28">
                  <c:v>1944</c:v>
                </c:pt>
                <c:pt idx="29">
                  <c:v>1945</c:v>
                </c:pt>
                <c:pt idx="30">
                  <c:v>1946</c:v>
                </c:pt>
                <c:pt idx="31">
                  <c:v>1947</c:v>
                </c:pt>
                <c:pt idx="32">
                  <c:v>1948</c:v>
                </c:pt>
                <c:pt idx="33">
                  <c:v>1949</c:v>
                </c:pt>
                <c:pt idx="34">
                  <c:v>1950</c:v>
                </c:pt>
                <c:pt idx="35">
                  <c:v>1951</c:v>
                </c:pt>
                <c:pt idx="36">
                  <c:v>1952</c:v>
                </c:pt>
                <c:pt idx="37">
                  <c:v>1953</c:v>
                </c:pt>
                <c:pt idx="38">
                  <c:v>1954</c:v>
                </c:pt>
                <c:pt idx="39">
                  <c:v>1955</c:v>
                </c:pt>
                <c:pt idx="40">
                  <c:v>1956</c:v>
                </c:pt>
                <c:pt idx="41">
                  <c:v>1957</c:v>
                </c:pt>
                <c:pt idx="42">
                  <c:v>1958</c:v>
                </c:pt>
                <c:pt idx="43">
                  <c:v>1959</c:v>
                </c:pt>
                <c:pt idx="44">
                  <c:v>1960</c:v>
                </c:pt>
                <c:pt idx="45">
                  <c:v>1961</c:v>
                </c:pt>
                <c:pt idx="46">
                  <c:v>1962</c:v>
                </c:pt>
                <c:pt idx="47">
                  <c:v>1963</c:v>
                </c:pt>
                <c:pt idx="48">
                  <c:v>1964</c:v>
                </c:pt>
                <c:pt idx="49">
                  <c:v>1965</c:v>
                </c:pt>
                <c:pt idx="50">
                  <c:v>1966</c:v>
                </c:pt>
                <c:pt idx="51">
                  <c:v>1967</c:v>
                </c:pt>
                <c:pt idx="52">
                  <c:v>1968</c:v>
                </c:pt>
                <c:pt idx="53">
                  <c:v>1969</c:v>
                </c:pt>
                <c:pt idx="54">
                  <c:v>1970</c:v>
                </c:pt>
                <c:pt idx="55">
                  <c:v>1971</c:v>
                </c:pt>
                <c:pt idx="56">
                  <c:v>1972</c:v>
                </c:pt>
                <c:pt idx="57">
                  <c:v>1973</c:v>
                </c:pt>
                <c:pt idx="58">
                  <c:v>1974</c:v>
                </c:pt>
                <c:pt idx="59">
                  <c:v>1975</c:v>
                </c:pt>
                <c:pt idx="60">
                  <c:v>1976</c:v>
                </c:pt>
                <c:pt idx="61">
                  <c:v>1977</c:v>
                </c:pt>
                <c:pt idx="62">
                  <c:v>1978</c:v>
                </c:pt>
                <c:pt idx="63">
                  <c:v>1979</c:v>
                </c:pt>
                <c:pt idx="64">
                  <c:v>1980</c:v>
                </c:pt>
                <c:pt idx="65">
                  <c:v>1981</c:v>
                </c:pt>
                <c:pt idx="66">
                  <c:v>1982</c:v>
                </c:pt>
                <c:pt idx="67">
                  <c:v>1983</c:v>
                </c:pt>
                <c:pt idx="68">
                  <c:v>1984</c:v>
                </c:pt>
                <c:pt idx="69">
                  <c:v>1985</c:v>
                </c:pt>
                <c:pt idx="70">
                  <c:v>1986</c:v>
                </c:pt>
                <c:pt idx="71">
                  <c:v>1987</c:v>
                </c:pt>
                <c:pt idx="72">
                  <c:v>1988</c:v>
                </c:pt>
                <c:pt idx="73">
                  <c:v>1989</c:v>
                </c:pt>
                <c:pt idx="74">
                  <c:v>1990</c:v>
                </c:pt>
                <c:pt idx="75">
                  <c:v>1991</c:v>
                </c:pt>
                <c:pt idx="76">
                  <c:v>1992</c:v>
                </c:pt>
                <c:pt idx="77">
                  <c:v>1993</c:v>
                </c:pt>
                <c:pt idx="78">
                  <c:v>1994</c:v>
                </c:pt>
                <c:pt idx="79">
                  <c:v>1995</c:v>
                </c:pt>
                <c:pt idx="80">
                  <c:v>1996</c:v>
                </c:pt>
                <c:pt idx="81">
                  <c:v>1997</c:v>
                </c:pt>
                <c:pt idx="82">
                  <c:v>1998</c:v>
                </c:pt>
                <c:pt idx="83">
                  <c:v>1999</c:v>
                </c:pt>
                <c:pt idx="84">
                  <c:v>2000</c:v>
                </c:pt>
                <c:pt idx="85">
                  <c:v>2001</c:v>
                </c:pt>
                <c:pt idx="86">
                  <c:v>2002</c:v>
                </c:pt>
                <c:pt idx="87">
                  <c:v>2003</c:v>
                </c:pt>
                <c:pt idx="88">
                  <c:v>2004</c:v>
                </c:pt>
                <c:pt idx="89">
                  <c:v>2005</c:v>
                </c:pt>
                <c:pt idx="90">
                  <c:v>2006</c:v>
                </c:pt>
                <c:pt idx="91">
                  <c:v>2007</c:v>
                </c:pt>
                <c:pt idx="92">
                  <c:v>2008</c:v>
                </c:pt>
                <c:pt idx="93">
                  <c:v>2009</c:v>
                </c:pt>
                <c:pt idx="94">
                  <c:v>2010</c:v>
                </c:pt>
                <c:pt idx="95">
                  <c:v>2011</c:v>
                </c:pt>
                <c:pt idx="96">
                  <c:v>2012</c:v>
                </c:pt>
                <c:pt idx="97">
                  <c:v>2013</c:v>
                </c:pt>
                <c:pt idx="98">
                  <c:v>2014</c:v>
                </c:pt>
                <c:pt idx="99">
                  <c:v>2015</c:v>
                </c:pt>
                <c:pt idx="100">
                  <c:v>2016</c:v>
                </c:pt>
                <c:pt idx="101">
                  <c:v>2017</c:v>
                </c:pt>
                <c:pt idx="102">
                  <c:v>2018</c:v>
                </c:pt>
              </c:numCache>
            </c:numRef>
          </c:cat>
          <c:val>
            <c:numRef>
              <c:f>Hoja1!$J$60:$J$162</c:f>
              <c:numCache>
                <c:formatCode>#,##0\ \ </c:formatCode>
                <c:ptCount val="103"/>
                <c:pt idx="0">
                  <c:v>100</c:v>
                </c:pt>
                <c:pt idx="1">
                  <c:v>91.897435897435841</c:v>
                </c:pt>
                <c:pt idx="2">
                  <c:v>108.74493927125515</c:v>
                </c:pt>
                <c:pt idx="3">
                  <c:v>112.74493927125515</c:v>
                </c:pt>
                <c:pt idx="4">
                  <c:v>120.95006747638328</c:v>
                </c:pt>
                <c:pt idx="5">
                  <c:v>124.04318488529022</c:v>
                </c:pt>
                <c:pt idx="6">
                  <c:v>133.96491228070178</c:v>
                </c:pt>
                <c:pt idx="7">
                  <c:v>148.72334682861018</c:v>
                </c:pt>
                <c:pt idx="8">
                  <c:v>160.3238866396762</c:v>
                </c:pt>
                <c:pt idx="9">
                  <c:v>159.65452091767889</c:v>
                </c:pt>
                <c:pt idx="10">
                  <c:v>167.35222672064796</c:v>
                </c:pt>
                <c:pt idx="11">
                  <c:v>179.22267206477727</c:v>
                </c:pt>
                <c:pt idx="12">
                  <c:v>190.32118758434561</c:v>
                </c:pt>
                <c:pt idx="13">
                  <c:v>199.09311740890701</c:v>
                </c:pt>
                <c:pt idx="14">
                  <c:v>190.85560053981118</c:v>
                </c:pt>
                <c:pt idx="15">
                  <c:v>177.60863697705821</c:v>
                </c:pt>
                <c:pt idx="16">
                  <c:v>171.72469635627544</c:v>
                </c:pt>
                <c:pt idx="17">
                  <c:v>179.79487179487151</c:v>
                </c:pt>
                <c:pt idx="18">
                  <c:v>193.98650472334668</c:v>
                </c:pt>
                <c:pt idx="19">
                  <c:v>202.42375168690958</c:v>
                </c:pt>
                <c:pt idx="20">
                  <c:v>204.10796221322539</c:v>
                </c:pt>
                <c:pt idx="21">
                  <c:v>218.89878542510118</c:v>
                </c:pt>
                <c:pt idx="22">
                  <c:v>219.57354925775982</c:v>
                </c:pt>
                <c:pt idx="23">
                  <c:v>227.97840755735515</c:v>
                </c:pt>
                <c:pt idx="24">
                  <c:v>231.67611336032391</c:v>
                </c:pt>
                <c:pt idx="25">
                  <c:v>243.78407557354913</c:v>
                </c:pt>
                <c:pt idx="26">
                  <c:v>246.472334682861</c:v>
                </c:pt>
                <c:pt idx="27">
                  <c:v>244.79352226720633</c:v>
                </c:pt>
                <c:pt idx="28">
                  <c:v>272.36707152496666</c:v>
                </c:pt>
                <c:pt idx="29">
                  <c:v>263.6221322537113</c:v>
                </c:pt>
                <c:pt idx="30">
                  <c:v>287.16329284750339</c:v>
                </c:pt>
                <c:pt idx="31">
                  <c:v>319.10391363022933</c:v>
                </c:pt>
                <c:pt idx="32">
                  <c:v>336.58839406207773</c:v>
                </c:pt>
                <c:pt idx="33">
                  <c:v>332.22132253711175</c:v>
                </c:pt>
                <c:pt idx="34">
                  <c:v>336.25371120107917</c:v>
                </c:pt>
                <c:pt idx="35">
                  <c:v>349.3254211790524</c:v>
                </c:pt>
                <c:pt idx="36">
                  <c:v>331.74361508129527</c:v>
                </c:pt>
                <c:pt idx="37">
                  <c:v>349.3254211790524</c:v>
                </c:pt>
                <c:pt idx="38">
                  <c:v>363.74615299739389</c:v>
                </c:pt>
                <c:pt idx="39">
                  <c:v>389.43989900654924</c:v>
                </c:pt>
                <c:pt idx="40">
                  <c:v>400.25878703327714</c:v>
                </c:pt>
                <c:pt idx="41">
                  <c:v>420.99276297585806</c:v>
                </c:pt>
                <c:pt idx="42">
                  <c:v>446.68650898501289</c:v>
                </c:pt>
                <c:pt idx="43">
                  <c:v>417.83614091373875</c:v>
                </c:pt>
                <c:pt idx="44">
                  <c:v>450.74247894071226</c:v>
                </c:pt>
                <c:pt idx="45">
                  <c:v>482.74501685681122</c:v>
                </c:pt>
                <c:pt idx="46">
                  <c:v>475.08275089220263</c:v>
                </c:pt>
                <c:pt idx="47">
                  <c:v>463.81418891868458</c:v>
                </c:pt>
                <c:pt idx="48">
                  <c:v>511.59093271079064</c:v>
                </c:pt>
                <c:pt idx="49">
                  <c:v>558.46832860931659</c:v>
                </c:pt>
                <c:pt idx="50">
                  <c:v>562.07462461822593</c:v>
                </c:pt>
                <c:pt idx="51">
                  <c:v>576.94948260065314</c:v>
                </c:pt>
                <c:pt idx="52">
                  <c:v>601.73942849893297</c:v>
                </c:pt>
                <c:pt idx="53">
                  <c:v>653.12246829994797</c:v>
                </c:pt>
                <c:pt idx="54">
                  <c:v>688.28162827816709</c:v>
                </c:pt>
                <c:pt idx="55">
                  <c:v>714.17504277410683</c:v>
                </c:pt>
                <c:pt idx="56">
                  <c:v>729.00825901519124</c:v>
                </c:pt>
                <c:pt idx="57">
                  <c:v>756.31361371387788</c:v>
                </c:pt>
                <c:pt idx="58">
                  <c:v>797.1971266956524</c:v>
                </c:pt>
                <c:pt idx="59">
                  <c:v>792.4671270164481</c:v>
                </c:pt>
                <c:pt idx="60">
                  <c:v>792.37299766959904</c:v>
                </c:pt>
                <c:pt idx="61">
                  <c:v>842.9753657136182</c:v>
                </c:pt>
                <c:pt idx="62">
                  <c:v>815.81120503520492</c:v>
                </c:pt>
                <c:pt idx="63">
                  <c:v>872.39863071642651</c:v>
                </c:pt>
                <c:pt idx="64">
                  <c:v>885.74734871656767</c:v>
                </c:pt>
                <c:pt idx="65">
                  <c:v>837.72132841109419</c:v>
                </c:pt>
                <c:pt idx="66">
                  <c:v>811.25801109991528</c:v>
                </c:pt>
                <c:pt idx="67">
                  <c:v>844.6251762996186</c:v>
                </c:pt>
                <c:pt idx="68">
                  <c:v>861.51939933940605</c:v>
                </c:pt>
                <c:pt idx="69">
                  <c:v>801.62873384568559</c:v>
                </c:pt>
                <c:pt idx="70">
                  <c:v>858.85415295653877</c:v>
                </c:pt>
                <c:pt idx="71">
                  <c:v>881.10466146899194</c:v>
                </c:pt>
                <c:pt idx="72">
                  <c:v>864.39958494669884</c:v>
                </c:pt>
                <c:pt idx="73">
                  <c:v>804.4487364701389</c:v>
                </c:pt>
                <c:pt idx="74">
                  <c:v>789.72110081255221</c:v>
                </c:pt>
                <c:pt idx="75">
                  <c:v>873.26367856197669</c:v>
                </c:pt>
                <c:pt idx="76">
                  <c:v>957.1587566394569</c:v>
                </c:pt>
                <c:pt idx="77">
                  <c:v>1011.942466160844</c:v>
                </c:pt>
                <c:pt idx="78">
                  <c:v>1071.0014594242832</c:v>
                </c:pt>
                <c:pt idx="79">
                  <c:v>1040.5292229647184</c:v>
                </c:pt>
                <c:pt idx="80">
                  <c:v>1098.0360456902495</c:v>
                </c:pt>
                <c:pt idx="81">
                  <c:v>1187.0982627714914</c:v>
                </c:pt>
                <c:pt idx="82">
                  <c:v>1232.8015298723778</c:v>
                </c:pt>
                <c:pt idx="83">
                  <c:v>1191.0676304756457</c:v>
                </c:pt>
                <c:pt idx="84">
                  <c:v>1181.6679803408308</c:v>
                </c:pt>
                <c:pt idx="85">
                  <c:v>1129.5678996398954</c:v>
                </c:pt>
                <c:pt idx="86">
                  <c:v>1006.5068301369774</c:v>
                </c:pt>
                <c:pt idx="87">
                  <c:v>1095.4526396081303</c:v>
                </c:pt>
                <c:pt idx="88">
                  <c:v>1193.8530285143884</c:v>
                </c:pt>
                <c:pt idx="89">
                  <c:v>1299.528838536113</c:v>
                </c:pt>
                <c:pt idx="90">
                  <c:v>1404.1038930068376</c:v>
                </c:pt>
                <c:pt idx="91">
                  <c:v>1530.5806696696584</c:v>
                </c:pt>
                <c:pt idx="92">
                  <c:v>1592.6798952581066</c:v>
                </c:pt>
                <c:pt idx="93">
                  <c:v>1498.4167362075457</c:v>
                </c:pt>
                <c:pt idx="94">
                  <c:v>1650.1373968541729</c:v>
                </c:pt>
                <c:pt idx="95">
                  <c:v>1749.2108489678806</c:v>
                </c:pt>
                <c:pt idx="96">
                  <c:v>1731.2565908717252</c:v>
                </c:pt>
                <c:pt idx="97">
                  <c:v>1772.898917468915</c:v>
                </c:pt>
                <c:pt idx="98">
                  <c:v>1728.3527875491352</c:v>
                </c:pt>
                <c:pt idx="99">
                  <c:v>1775.5568647600335</c:v>
                </c:pt>
                <c:pt idx="100">
                  <c:v>1743.1965921372412</c:v>
                </c:pt>
                <c:pt idx="101">
                  <c:v>1792.9547297285401</c:v>
                </c:pt>
                <c:pt idx="102">
                  <c:v>1748.130861485326</c:v>
                </c:pt>
              </c:numCache>
            </c:numRef>
          </c:val>
          <c:extLst xmlns:c16r2="http://schemas.microsoft.com/office/drawing/2015/06/chart">
            <c:ext xmlns:c16="http://schemas.microsoft.com/office/drawing/2014/chart" uri="{C3380CC4-5D6E-409C-BE32-E72D297353CC}">
              <c16:uniqueId val="{00000001-0D96-436C-9854-9CCB0DB31C59}"/>
            </c:ext>
          </c:extLst>
        </c:ser>
        <c:marker val="1"/>
        <c:axId val="44070784"/>
        <c:axId val="44069248"/>
      </c:lineChart>
      <c:catAx>
        <c:axId val="44033152"/>
        <c:scaling>
          <c:orientation val="minMax"/>
        </c:scaling>
        <c:axPos val="b"/>
        <c:numFmt formatCode="@"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AR" sz="700" b="0" i="0" u="none" strike="noStrike" kern="1200" baseline="0">
                <a:solidFill>
                  <a:schemeClr val="tx1">
                    <a:lumMod val="65000"/>
                    <a:lumOff val="35000"/>
                  </a:schemeClr>
                </a:solidFill>
                <a:latin typeface="+mn-lt"/>
                <a:ea typeface="+mn-ea"/>
                <a:cs typeface="+mn-cs"/>
              </a:defRPr>
            </a:pPr>
            <a:endParaRPr lang="es-MX"/>
          </a:p>
        </c:txPr>
        <c:crossAx val="44034688"/>
        <c:crosses val="autoZero"/>
        <c:auto val="1"/>
        <c:lblAlgn val="ctr"/>
        <c:lblOffset val="100"/>
      </c:catAx>
      <c:valAx>
        <c:axId val="440346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s-AR" sz="900" b="0" i="0" u="none" strike="noStrike" kern="1200" baseline="0">
                <a:solidFill>
                  <a:schemeClr val="tx1">
                    <a:lumMod val="65000"/>
                    <a:lumOff val="35000"/>
                  </a:schemeClr>
                </a:solidFill>
                <a:latin typeface="+mn-lt"/>
                <a:ea typeface="+mn-ea"/>
                <a:cs typeface="+mn-cs"/>
              </a:defRPr>
            </a:pPr>
            <a:endParaRPr lang="es-MX"/>
          </a:p>
        </c:txPr>
        <c:crossAx val="44033152"/>
        <c:crosses val="autoZero"/>
        <c:crossBetween val="between"/>
      </c:valAx>
      <c:valAx>
        <c:axId val="44069248"/>
        <c:scaling>
          <c:orientation val="minMax"/>
        </c:scaling>
        <c:axPos val="r"/>
        <c:numFmt formatCode="#,##0\ \ " sourceLinked="1"/>
        <c:tickLblPos val="nextTo"/>
        <c:spPr>
          <a:noFill/>
          <a:ln>
            <a:noFill/>
          </a:ln>
          <a:effectLst/>
        </c:spPr>
        <c:txPr>
          <a:bodyPr rot="-60000000" spcFirstLastPara="1" vertOverflow="ellipsis" vert="horz" wrap="square" anchor="ctr" anchorCtr="1"/>
          <a:lstStyle/>
          <a:p>
            <a:pPr>
              <a:defRPr lang="es-AR" sz="900" b="0" i="0" u="none" strike="noStrike" kern="1200" baseline="0">
                <a:solidFill>
                  <a:schemeClr val="tx1">
                    <a:lumMod val="65000"/>
                    <a:lumOff val="35000"/>
                  </a:schemeClr>
                </a:solidFill>
                <a:latin typeface="+mn-lt"/>
                <a:ea typeface="+mn-ea"/>
                <a:cs typeface="+mn-cs"/>
              </a:defRPr>
            </a:pPr>
            <a:endParaRPr lang="es-MX"/>
          </a:p>
        </c:txPr>
        <c:crossAx val="44070784"/>
        <c:crosses val="max"/>
        <c:crossBetween val="between"/>
      </c:valAx>
      <c:catAx>
        <c:axId val="44070784"/>
        <c:scaling>
          <c:orientation val="minMax"/>
        </c:scaling>
        <c:delete val="1"/>
        <c:axPos val="b"/>
        <c:numFmt formatCode="@" sourceLinked="1"/>
        <c:tickLblPos val="nextTo"/>
        <c:crossAx val="44069248"/>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lang="es-A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MX"/>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1421</Words>
  <Characters>7821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Weidmann</dc:creator>
  <cp:lastModifiedBy>Asrock</cp:lastModifiedBy>
  <cp:revision>3</cp:revision>
  <dcterms:created xsi:type="dcterms:W3CDTF">2019-05-16T18:13:00Z</dcterms:created>
  <dcterms:modified xsi:type="dcterms:W3CDTF">2019-05-16T18:13:00Z</dcterms:modified>
</cp:coreProperties>
</file>